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25F9C" w:rsidRDefault="00325F9C" w:rsidP="0016149B">
      <w:pPr>
        <w:jc w:val="center"/>
        <w:rPr>
          <w:b/>
          <w:sz w:val="28"/>
          <w:szCs w:val="28"/>
          <w:lang w:val="en-US"/>
        </w:rPr>
      </w:pPr>
      <w:r w:rsidRPr="00325F9C">
        <w:rPr>
          <w:b/>
          <w:sz w:val="28"/>
          <w:szCs w:val="28"/>
        </w:rPr>
        <w:t>Growth Response Of Pakcoy Mustard (</w:t>
      </w:r>
      <w:r w:rsidRPr="005277A3">
        <w:rPr>
          <w:b/>
          <w:i/>
          <w:iCs/>
          <w:sz w:val="28"/>
          <w:szCs w:val="28"/>
        </w:rPr>
        <w:t xml:space="preserve">Brassica Rapa </w:t>
      </w:r>
      <w:r w:rsidRPr="005277A3">
        <w:rPr>
          <w:b/>
          <w:sz w:val="28"/>
          <w:szCs w:val="28"/>
        </w:rPr>
        <w:t>L.</w:t>
      </w:r>
      <w:r w:rsidRPr="00325F9C">
        <w:rPr>
          <w:b/>
          <w:sz w:val="28"/>
          <w:szCs w:val="28"/>
        </w:rPr>
        <w:t>) Mustard Plant Production With The Hydroponic Model Of The Wick System To Salinity Stress Conditions</w:t>
      </w:r>
    </w:p>
    <w:p w:rsidR="00325F9C" w:rsidRPr="00325F9C" w:rsidRDefault="00325F9C" w:rsidP="0016149B">
      <w:pPr>
        <w:jc w:val="center"/>
        <w:rPr>
          <w:b/>
          <w:sz w:val="28"/>
          <w:szCs w:val="28"/>
        </w:rPr>
      </w:pPr>
      <w:r w:rsidRPr="00325F9C">
        <w:rPr>
          <w:b/>
          <w:sz w:val="28"/>
          <w:szCs w:val="28"/>
        </w:rPr>
        <w:t xml:space="preserve"> </w:t>
      </w:r>
    </w:p>
    <w:p w:rsidR="0016149B" w:rsidRPr="005277A3" w:rsidRDefault="00325F9C" w:rsidP="00325F9C">
      <w:pPr>
        <w:jc w:val="center"/>
        <w:rPr>
          <w:b/>
          <w:sz w:val="28"/>
          <w:szCs w:val="28"/>
        </w:rPr>
      </w:pPr>
      <w:r w:rsidRPr="005277A3">
        <w:rPr>
          <w:b/>
          <w:sz w:val="28"/>
          <w:szCs w:val="28"/>
        </w:rPr>
        <w:t>Respon Pertumbuhan</w:t>
      </w:r>
      <w:r w:rsidRPr="00325F9C">
        <w:rPr>
          <w:b/>
          <w:sz w:val="28"/>
          <w:szCs w:val="28"/>
        </w:rPr>
        <w:t xml:space="preserve"> Dan Produksi</w:t>
      </w:r>
      <w:r w:rsidRPr="005277A3">
        <w:rPr>
          <w:b/>
          <w:sz w:val="28"/>
          <w:szCs w:val="28"/>
        </w:rPr>
        <w:t xml:space="preserve"> Tanaman Sawi Pakcoy</w:t>
      </w:r>
      <w:r w:rsidRPr="00325F9C">
        <w:rPr>
          <w:b/>
          <w:sz w:val="28"/>
          <w:szCs w:val="28"/>
        </w:rPr>
        <w:t xml:space="preserve"> </w:t>
      </w:r>
      <w:r w:rsidRPr="005277A3">
        <w:rPr>
          <w:b/>
          <w:sz w:val="28"/>
          <w:szCs w:val="28"/>
        </w:rPr>
        <w:t>(</w:t>
      </w:r>
      <w:r w:rsidRPr="00325F9C">
        <w:rPr>
          <w:b/>
          <w:sz w:val="28"/>
          <w:szCs w:val="28"/>
        </w:rPr>
        <w:t xml:space="preserve">Brassica Rapa </w:t>
      </w:r>
      <w:r w:rsidRPr="005277A3">
        <w:rPr>
          <w:b/>
          <w:sz w:val="28"/>
          <w:szCs w:val="28"/>
        </w:rPr>
        <w:t>L.)</w:t>
      </w:r>
      <w:r w:rsidRPr="00325F9C">
        <w:rPr>
          <w:b/>
          <w:sz w:val="28"/>
          <w:szCs w:val="28"/>
        </w:rPr>
        <w:t xml:space="preserve"> Model</w:t>
      </w:r>
      <w:r w:rsidRPr="005277A3">
        <w:rPr>
          <w:b/>
          <w:sz w:val="28"/>
          <w:szCs w:val="28"/>
        </w:rPr>
        <w:t xml:space="preserve"> Hidroponik Sistem Wick</w:t>
      </w:r>
      <w:r w:rsidRPr="00325F9C">
        <w:rPr>
          <w:b/>
          <w:sz w:val="28"/>
          <w:szCs w:val="28"/>
        </w:rPr>
        <w:t xml:space="preserve"> </w:t>
      </w:r>
      <w:r w:rsidRPr="005277A3">
        <w:rPr>
          <w:b/>
          <w:sz w:val="28"/>
          <w:szCs w:val="28"/>
        </w:rPr>
        <w:t>Terhadap Kondisi Cekaman Salinitas</w:t>
      </w:r>
    </w:p>
    <w:p w:rsidR="0016149B" w:rsidRDefault="0016149B" w:rsidP="0016149B">
      <w:pPr>
        <w:rPr>
          <w:sz w:val="20"/>
          <w:szCs w:val="20"/>
        </w:rPr>
      </w:pPr>
    </w:p>
    <w:p w:rsidR="0016149B" w:rsidRDefault="0016149B" w:rsidP="0016149B">
      <w:pPr>
        <w:pStyle w:val="Normal1"/>
        <w:spacing w:after="0" w:line="240" w:lineRule="auto"/>
        <w:jc w:val="center"/>
        <w:rPr>
          <w:rFonts w:ascii="Times New Roman" w:eastAsia="Times New Roman" w:hAnsi="Times New Roman" w:cs="Times New Roman"/>
          <w:iCs/>
          <w:sz w:val="24"/>
          <w:szCs w:val="24"/>
          <w:vertAlign w:val="superscript"/>
          <w:lang w:val="id-ID"/>
        </w:rPr>
      </w:pPr>
      <w:r>
        <w:rPr>
          <w:rFonts w:ascii="Times New Roman" w:eastAsia="Times New Roman" w:hAnsi="Times New Roman" w:cs="Times New Roman"/>
          <w:iCs/>
          <w:sz w:val="24"/>
          <w:szCs w:val="24"/>
        </w:rPr>
        <w:t xml:space="preserve">Muhammad </w:t>
      </w:r>
      <w:proofErr w:type="spellStart"/>
      <w:r>
        <w:rPr>
          <w:rFonts w:ascii="Times New Roman" w:eastAsia="Times New Roman" w:hAnsi="Times New Roman" w:cs="Times New Roman"/>
          <w:iCs/>
          <w:sz w:val="24"/>
          <w:szCs w:val="24"/>
        </w:rPr>
        <w:t>Ilham</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Cahya</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Mulyad</w:t>
      </w:r>
      <w:proofErr w:type="spellEnd"/>
      <w:r w:rsidRPr="00ED1665">
        <w:rPr>
          <w:rFonts w:ascii="Times New Roman" w:eastAsia="Times New Roman" w:hAnsi="Times New Roman" w:cs="Times New Roman"/>
          <w:iCs/>
          <w:sz w:val="24"/>
          <w:szCs w:val="24"/>
          <w:lang w:val="id-ID"/>
        </w:rPr>
        <w:t>i</w:t>
      </w:r>
      <w:r w:rsidRPr="00ED1665">
        <w:rPr>
          <w:rFonts w:ascii="Times New Roman" w:eastAsia="Times New Roman" w:hAnsi="Times New Roman" w:cs="Times New Roman"/>
          <w:iCs/>
          <w:sz w:val="24"/>
          <w:szCs w:val="24"/>
          <w:vertAlign w:val="superscript"/>
        </w:rPr>
        <w:t>1</w:t>
      </w:r>
      <w:r>
        <w:rPr>
          <w:rFonts w:ascii="Times New Roman" w:eastAsia="Times New Roman" w:hAnsi="Times New Roman" w:cs="Times New Roman"/>
          <w:iCs/>
          <w:sz w:val="24"/>
          <w:szCs w:val="24"/>
        </w:rPr>
        <w:t>,</w:t>
      </w:r>
      <w:r w:rsidRPr="00ED1665">
        <w:rPr>
          <w:rFonts w:ascii="Times New Roman" w:eastAsia="Times New Roman" w:hAnsi="Times New Roman" w:cs="Times New Roman"/>
          <w:iCs/>
          <w:sz w:val="24"/>
          <w:szCs w:val="24"/>
          <w:lang w:val="id-ID"/>
        </w:rPr>
        <w:t xml:space="preserve"> M. Abror.</w:t>
      </w:r>
      <w:r w:rsidRPr="00ED1665">
        <w:rPr>
          <w:rFonts w:ascii="Times New Roman" w:eastAsia="Times New Roman" w:hAnsi="Times New Roman" w:cs="Times New Roman"/>
          <w:iCs/>
          <w:sz w:val="24"/>
          <w:szCs w:val="24"/>
          <w:vertAlign w:val="superscript"/>
          <w:lang w:val="id-ID"/>
        </w:rPr>
        <w:t>2</w:t>
      </w:r>
    </w:p>
    <w:p w:rsidR="0016149B" w:rsidRPr="008957CF" w:rsidRDefault="0016149B" w:rsidP="0016149B">
      <w:pPr>
        <w:pStyle w:val="Normal1"/>
        <w:spacing w:after="0" w:line="240" w:lineRule="auto"/>
        <w:jc w:val="center"/>
        <w:rPr>
          <w:rFonts w:ascii="Times New Roman" w:eastAsia="Times New Roman" w:hAnsi="Times New Roman" w:cs="Times New Roman"/>
          <w:iCs/>
          <w:sz w:val="24"/>
          <w:szCs w:val="24"/>
          <w:lang w:val="id-ID"/>
        </w:rPr>
      </w:pPr>
      <w:r w:rsidRPr="00552687">
        <w:rPr>
          <w:rFonts w:eastAsia="Times"/>
          <w:sz w:val="18"/>
          <w:szCs w:val="18"/>
          <w:lang w:val="id-ID"/>
        </w:rPr>
        <w:t>{</w:t>
      </w:r>
      <w:r w:rsidRPr="00552687">
        <w:rPr>
          <w:rFonts w:ascii="Times New Roman" w:eastAsia="Times New Roman" w:hAnsi="Times New Roman" w:cs="Times New Roman"/>
          <w:i/>
          <w:sz w:val="18"/>
          <w:szCs w:val="18"/>
          <w:lang w:val="id-ID"/>
        </w:rPr>
        <w:t>ilhamcahya98</w:t>
      </w:r>
      <w:r w:rsidRPr="008957CF">
        <w:rPr>
          <w:rFonts w:ascii="Times New Roman" w:eastAsia="Times New Roman" w:hAnsi="Times New Roman" w:cs="Times New Roman"/>
          <w:i/>
          <w:sz w:val="18"/>
          <w:szCs w:val="18"/>
          <w:lang w:val="id-ID"/>
        </w:rPr>
        <w:t>@gmail.com</w:t>
      </w:r>
      <w:r w:rsidRPr="00552687">
        <w:rPr>
          <w:rFonts w:eastAsia="Times"/>
          <w:sz w:val="18"/>
          <w:szCs w:val="18"/>
          <w:vertAlign w:val="superscript"/>
          <w:lang w:val="id-ID"/>
        </w:rPr>
        <w:t xml:space="preserve"> 1</w:t>
      </w:r>
      <w:r w:rsidRPr="00552687">
        <w:rPr>
          <w:i/>
          <w:sz w:val="18"/>
          <w:szCs w:val="18"/>
          <w:lang w:val="id-ID"/>
        </w:rPr>
        <w:t xml:space="preserve">, </w:t>
      </w:r>
      <w:r w:rsidRPr="008957CF">
        <w:rPr>
          <w:rFonts w:ascii="Times New Roman" w:eastAsia="Times New Roman" w:hAnsi="Times New Roman" w:cs="Times New Roman"/>
          <w:i/>
          <w:sz w:val="18"/>
          <w:szCs w:val="18"/>
          <w:lang w:val="id-ID"/>
        </w:rPr>
        <w:t>abror@umsida.ac.id</w:t>
      </w:r>
      <w:r w:rsidRPr="00552687">
        <w:rPr>
          <w:rFonts w:eastAsia="Times"/>
          <w:sz w:val="18"/>
          <w:szCs w:val="18"/>
          <w:vertAlign w:val="superscript"/>
          <w:lang w:val="id-ID"/>
        </w:rPr>
        <w:t xml:space="preserve"> 2</w:t>
      </w:r>
      <w:r w:rsidRPr="00552687">
        <w:rPr>
          <w:rFonts w:eastAsia="Times"/>
          <w:sz w:val="18"/>
          <w:szCs w:val="18"/>
          <w:lang w:val="id-ID"/>
        </w:rPr>
        <w:t xml:space="preserve"> }</w:t>
      </w:r>
    </w:p>
    <w:p w:rsidR="0016149B" w:rsidRDefault="0016149B" w:rsidP="0016149B">
      <w:pPr>
        <w:ind w:firstLine="227"/>
        <w:jc w:val="center"/>
      </w:pPr>
      <w:bookmarkStart w:id="0" w:name="_GoBack"/>
      <w:bookmarkEnd w:id="0"/>
    </w:p>
    <w:p w:rsidR="0016149B" w:rsidRDefault="0016149B" w:rsidP="0016149B">
      <w:pPr>
        <w:ind w:firstLine="227"/>
        <w:jc w:val="center"/>
        <w:rPr>
          <w:i/>
          <w:sz w:val="20"/>
          <w:szCs w:val="20"/>
        </w:rPr>
      </w:pPr>
      <w:r w:rsidRPr="004C0187">
        <w:rPr>
          <w:i/>
          <w:sz w:val="20"/>
          <w:szCs w:val="20"/>
        </w:rPr>
        <w:t>Program Studi Agroteknologi Universitas Muhammadiyah Sidoarjo</w:t>
      </w:r>
      <w:r>
        <w:rPr>
          <w:i/>
          <w:sz w:val="20"/>
          <w:szCs w:val="20"/>
          <w:lang w:val="en-US"/>
        </w:rPr>
        <w:t xml:space="preserve">, 082132367191 </w:t>
      </w:r>
      <w:r w:rsidRPr="009809A4">
        <w:rPr>
          <w:rFonts w:eastAsia="Times"/>
          <w:sz w:val="18"/>
          <w:szCs w:val="18"/>
          <w:vertAlign w:val="superscript"/>
        </w:rPr>
        <w:t>1</w:t>
      </w:r>
    </w:p>
    <w:p w:rsidR="0016149B" w:rsidRPr="0042530D" w:rsidRDefault="0016149B" w:rsidP="0016149B">
      <w:pPr>
        <w:ind w:firstLine="227"/>
        <w:jc w:val="center"/>
      </w:pPr>
      <w:r w:rsidRPr="004C0187">
        <w:rPr>
          <w:i/>
          <w:sz w:val="20"/>
          <w:szCs w:val="20"/>
        </w:rPr>
        <w:t>Program Studi Agroteknologi Universitas Muhammadiyah Sidoarj</w:t>
      </w:r>
      <w:r>
        <w:rPr>
          <w:i/>
          <w:sz w:val="20"/>
          <w:szCs w:val="20"/>
          <w:lang w:val="en-US"/>
        </w:rPr>
        <w:t xml:space="preserve">o, 08165406296 </w:t>
      </w:r>
      <w:r>
        <w:rPr>
          <w:rFonts w:eastAsia="Times"/>
          <w:sz w:val="18"/>
          <w:szCs w:val="18"/>
          <w:vertAlign w:val="superscript"/>
          <w:lang w:val="en-US"/>
        </w:rPr>
        <w:t xml:space="preserve"> 2</w:t>
      </w:r>
    </w:p>
    <w:p w:rsidR="0016149B" w:rsidRDefault="0016149B" w:rsidP="0016149B">
      <w:pPr>
        <w:rPr>
          <w:i/>
          <w:sz w:val="20"/>
          <w:szCs w:val="20"/>
        </w:rPr>
      </w:pPr>
    </w:p>
    <w:p w:rsidR="0016149B" w:rsidRDefault="0016149B" w:rsidP="0016149B">
      <w:pPr>
        <w:rPr>
          <w:sz w:val="20"/>
          <w:szCs w:val="20"/>
        </w:rPr>
      </w:pPr>
    </w:p>
    <w:p w:rsidR="0016149B" w:rsidRDefault="0016149B" w:rsidP="0016149B">
      <w:pPr>
        <w:sectPr w:rsidR="0016149B" w:rsidSect="00325F9C">
          <w:headerReference w:type="default" r:id="rId8"/>
          <w:headerReference w:type="first" r:id="rId9"/>
          <w:pgSz w:w="11906" w:h="16838"/>
          <w:pgMar w:top="1386" w:right="1134" w:bottom="1134" w:left="1411" w:header="426" w:footer="720" w:gutter="0"/>
          <w:cols w:space="720"/>
          <w:titlePg/>
          <w:docGrid w:linePitch="360"/>
        </w:sectPr>
      </w:pPr>
    </w:p>
    <w:p w:rsidR="0016149B" w:rsidRDefault="0016149B" w:rsidP="0016149B">
      <w:pPr>
        <w:jc w:val="both"/>
        <w:rPr>
          <w:i/>
          <w:color w:val="000000"/>
          <w:sz w:val="20"/>
          <w:szCs w:val="20"/>
        </w:rPr>
      </w:pPr>
      <w:r w:rsidRPr="006C7A28">
        <w:rPr>
          <w:b/>
          <w:bCs/>
        </w:rPr>
        <w:lastRenderedPageBreak/>
        <w:t>Abstract</w:t>
      </w:r>
      <w:r w:rsidRPr="006C7A28">
        <w:rPr>
          <w:bCs/>
        </w:rPr>
        <w:t xml:space="preserve">. </w:t>
      </w:r>
      <w:r w:rsidR="00193AE1" w:rsidRPr="007449C4">
        <w:rPr>
          <w:bCs/>
          <w:i/>
          <w:sz w:val="20"/>
          <w:szCs w:val="20"/>
        </w:rPr>
        <w:t>The current decline in productivity and agricultural output is also a result of high salinity levels. As much as 20% of 50% of irrigated land worldwide is affected by varying levels of salinity. The purpose of this study was to determine the growth response of the wick system of hydroponic pakcoy mustard greens to salinity stress conditions. This research was conducted in Pabean Hamlet, Kejapanan Village, Gempol District, Pasuruan Regency, starting from September to October 2020. The experiment was arranged in a randomized block design (RAK) with 6 treatments consisting of 0, 1000, 1500, 2000, 2500, and 3000 ppm. The treatment was repeated three times, so that 18 experimental units were obtained. Each experimental unit consisted of 12 plants. The data were analyzed using ANOVA at the 5% level followed by the 5% BNJ test. The variables observed were plant height, number of leaves, leaf area, wet weight, consumption weight, and chlorophyll test with a wavelength of 649 and 665. The results showed that there was no significant difference in each treatment unit. From these results it can be concluded that pakcoy mustard plants do not respond to salinity stresses of up to 3000 ppm.</w:t>
      </w:r>
    </w:p>
    <w:p w:rsidR="0016149B" w:rsidRPr="00CE631E" w:rsidRDefault="0016149B" w:rsidP="0016149B">
      <w:pPr>
        <w:pStyle w:val="BodyAbstract"/>
        <w:tabs>
          <w:tab w:val="left" w:pos="3261"/>
        </w:tabs>
        <w:spacing w:before="0" w:after="0"/>
        <w:ind w:left="0" w:right="4"/>
        <w:jc w:val="both"/>
        <w:rPr>
          <w:lang w:val="en-US"/>
        </w:rPr>
      </w:pPr>
      <w:r w:rsidRPr="006C7A28">
        <w:rPr>
          <w:b/>
          <w:bCs/>
          <w:smallCaps w:val="0"/>
        </w:rPr>
        <w:t>Keywords</w:t>
      </w:r>
      <w:r>
        <w:rPr>
          <w:b/>
          <w:bCs/>
          <w:smallCaps w:val="0"/>
          <w:lang w:val="en-US"/>
        </w:rPr>
        <w:t xml:space="preserve"> – </w:t>
      </w:r>
      <w:r>
        <w:rPr>
          <w:smallCaps w:val="0"/>
          <w:lang w:val="en-US"/>
        </w:rPr>
        <w:t xml:space="preserve">salinity, </w:t>
      </w:r>
      <w:proofErr w:type="spellStart"/>
      <w:r>
        <w:rPr>
          <w:smallCaps w:val="0"/>
          <w:lang w:val="en-US"/>
        </w:rPr>
        <w:t>bok</w:t>
      </w:r>
      <w:proofErr w:type="spellEnd"/>
      <w:r>
        <w:rPr>
          <w:smallCaps w:val="0"/>
          <w:lang w:val="en-US"/>
        </w:rPr>
        <w:t xml:space="preserve"> </w:t>
      </w:r>
      <w:proofErr w:type="spellStart"/>
      <w:r>
        <w:rPr>
          <w:smallCaps w:val="0"/>
          <w:lang w:val="en-US"/>
        </w:rPr>
        <w:t>choy</w:t>
      </w:r>
      <w:proofErr w:type="spellEnd"/>
      <w:r>
        <w:rPr>
          <w:smallCaps w:val="0"/>
          <w:lang w:val="en-US"/>
        </w:rPr>
        <w:t xml:space="preserve"> mustard, hydroponic</w:t>
      </w:r>
    </w:p>
    <w:p w:rsidR="0016149B" w:rsidRPr="006C7A28" w:rsidRDefault="0016149B" w:rsidP="0016149B">
      <w:pPr>
        <w:tabs>
          <w:tab w:val="left" w:pos="0"/>
        </w:tabs>
        <w:ind w:right="4"/>
        <w:rPr>
          <w:b/>
          <w:bCs/>
          <w:i/>
        </w:rPr>
      </w:pPr>
    </w:p>
    <w:p w:rsidR="0016149B" w:rsidRPr="004C0187" w:rsidRDefault="0016149B" w:rsidP="0016149B">
      <w:pPr>
        <w:jc w:val="both"/>
        <w:rPr>
          <w:sz w:val="20"/>
          <w:szCs w:val="20"/>
        </w:rPr>
      </w:pPr>
      <w:r w:rsidRPr="006C7A28">
        <w:rPr>
          <w:b/>
          <w:bCs/>
        </w:rPr>
        <w:t>Abstrak</w:t>
      </w:r>
      <w:r w:rsidRPr="006C7A28">
        <w:rPr>
          <w:bCs/>
        </w:rPr>
        <w:t xml:space="preserve">. </w:t>
      </w:r>
      <w:r w:rsidR="00193AE1" w:rsidRPr="00193AE1">
        <w:rPr>
          <w:sz w:val="20"/>
          <w:szCs w:val="20"/>
        </w:rPr>
        <w:t>Penurunan produktivitas dan hasil pertanian sekarang ini juga merupakan dampak dari tingkat salinitas yang tinggi. Sebanyak 20% dari 50% lahan beririgasi di seluruh dunia dipengaruhi oleh tingkat salinitas yang bervariasi. Tujuan dari penelitian ini untuk mengetahui respon pertumbuhan tanaman sawi pakcoy hidroponik sistem wick terhadap kondisi cekaman salinitas. Penelitian ini dilakukan di Dusun Pabean Desa Kejapanan Kecamatan Gempol, Kabupaten Pasuruan, dimulai pada bulan September hingga Oktober 2020. Percobaan disusun dalam Rancangan Acak Kelompok (RAK) dengan 6 perlakuan terdiri atas 0, 1000, 1500, 2000, 2500, dan 3000 ppm. Perlakuan diulang tiga kali, sehinga diperoleh 18 satuan percobaan. Tiap satuan percobaan terdiri atas 12 tanaman. Data dianalasis dengan ANOVA pada taraf 5% yang dilanjutkan dengan uji BNJ 5%. Variabel yang diamati tinggi tanaman, jumlah daun, luas daun, berat basah, bobot konsumsi, dan uji klorofil dengan panjang gelombang 649 dan 665. Hasil penelitian menunjukkan bahwa tidak adanya perbedaan nyata pada tiap satuan perlakuan. Dari hasil tersebut dapat disimpulkan bahwa tanaman sawi pakcoy tidak merespon terhadap cekaman salinitas hingga 3000 ppm.</w:t>
      </w:r>
      <w:r w:rsidRPr="004C0187">
        <w:rPr>
          <w:sz w:val="20"/>
          <w:szCs w:val="20"/>
        </w:rPr>
        <w:t xml:space="preserve"> </w:t>
      </w:r>
    </w:p>
    <w:p w:rsidR="0016149B" w:rsidRPr="00CE631E" w:rsidRDefault="0016149B" w:rsidP="0016149B">
      <w:pPr>
        <w:pStyle w:val="BodyAbstract"/>
        <w:spacing w:before="0" w:after="0"/>
        <w:ind w:left="0" w:right="4"/>
        <w:jc w:val="both"/>
        <w:rPr>
          <w:smallCaps w:val="0"/>
          <w:lang w:val="en-US"/>
        </w:rPr>
      </w:pPr>
      <w:r w:rsidRPr="006C7A28">
        <w:rPr>
          <w:b/>
          <w:bCs/>
          <w:smallCaps w:val="0"/>
        </w:rPr>
        <w:t xml:space="preserve">Kata Kunci </w:t>
      </w:r>
      <w:r>
        <w:rPr>
          <w:b/>
          <w:bCs/>
          <w:smallCaps w:val="0"/>
        </w:rPr>
        <w:t>–</w:t>
      </w:r>
      <w:r w:rsidRPr="006C7A28">
        <w:rPr>
          <w:b/>
          <w:bCs/>
          <w:smallCaps w:val="0"/>
        </w:rPr>
        <w:t xml:space="preserve"> </w:t>
      </w:r>
      <w:proofErr w:type="spellStart"/>
      <w:r>
        <w:rPr>
          <w:smallCaps w:val="0"/>
          <w:lang w:val="en-US"/>
        </w:rPr>
        <w:t>Salinitas</w:t>
      </w:r>
      <w:proofErr w:type="spellEnd"/>
      <w:r>
        <w:rPr>
          <w:smallCaps w:val="0"/>
          <w:lang w:val="en-US"/>
        </w:rPr>
        <w:t xml:space="preserve">, </w:t>
      </w:r>
      <w:proofErr w:type="spellStart"/>
      <w:r>
        <w:rPr>
          <w:smallCaps w:val="0"/>
          <w:lang w:val="en-US"/>
        </w:rPr>
        <w:t>Sawi</w:t>
      </w:r>
      <w:proofErr w:type="spellEnd"/>
      <w:r>
        <w:rPr>
          <w:smallCaps w:val="0"/>
          <w:lang w:val="en-US"/>
        </w:rPr>
        <w:t xml:space="preserve"> </w:t>
      </w:r>
      <w:proofErr w:type="spellStart"/>
      <w:r>
        <w:rPr>
          <w:smallCaps w:val="0"/>
          <w:lang w:val="en-US"/>
        </w:rPr>
        <w:t>Pakcoy</w:t>
      </w:r>
      <w:proofErr w:type="spellEnd"/>
      <w:r>
        <w:rPr>
          <w:smallCaps w:val="0"/>
          <w:lang w:val="en-US"/>
        </w:rPr>
        <w:t xml:space="preserve">, </w:t>
      </w:r>
      <w:proofErr w:type="spellStart"/>
      <w:r>
        <w:rPr>
          <w:smallCaps w:val="0"/>
          <w:lang w:val="en-US"/>
        </w:rPr>
        <w:t>Hidroponik</w:t>
      </w:r>
      <w:proofErr w:type="spellEnd"/>
    </w:p>
    <w:p w:rsidR="00832D9F" w:rsidRDefault="00832D9F" w:rsidP="00832D9F">
      <w:pPr>
        <w:pStyle w:val="JSKReferenceItem"/>
        <w:numPr>
          <w:ilvl w:val="0"/>
          <w:numId w:val="0"/>
        </w:numPr>
        <w:ind w:left="432"/>
      </w:pPr>
    </w:p>
    <w:p w:rsidR="00953F53" w:rsidRDefault="00953F53">
      <w:pPr>
        <w:pStyle w:val="Heading1"/>
        <w:rPr>
          <w:sz w:val="24"/>
        </w:rPr>
      </w:pPr>
      <w:r w:rsidRPr="006C7A28">
        <w:rPr>
          <w:sz w:val="24"/>
        </w:rPr>
        <w:t xml:space="preserve">I. Pendahuluan </w:t>
      </w:r>
    </w:p>
    <w:p w:rsidR="0016149B" w:rsidRDefault="0016149B" w:rsidP="001A5C68">
      <w:pPr>
        <w:ind w:firstLine="426"/>
        <w:jc w:val="both"/>
        <w:rPr>
          <w:sz w:val="20"/>
          <w:szCs w:val="20"/>
        </w:rPr>
      </w:pPr>
      <w:r w:rsidRPr="005F3E5E">
        <w:rPr>
          <w:sz w:val="20"/>
          <w:szCs w:val="20"/>
        </w:rPr>
        <w:t>Tanaman Sawi Pakcoy (</w:t>
      </w:r>
      <w:r w:rsidRPr="005F3E5E">
        <w:rPr>
          <w:i/>
          <w:sz w:val="20"/>
          <w:szCs w:val="20"/>
        </w:rPr>
        <w:t xml:space="preserve">Brassica rapa </w:t>
      </w:r>
      <w:r w:rsidRPr="005F3E5E">
        <w:rPr>
          <w:iCs/>
          <w:sz w:val="20"/>
          <w:szCs w:val="20"/>
        </w:rPr>
        <w:t>L.</w:t>
      </w:r>
      <w:r w:rsidRPr="005F3E5E">
        <w:rPr>
          <w:i/>
          <w:sz w:val="20"/>
          <w:szCs w:val="20"/>
        </w:rPr>
        <w:t xml:space="preserve">) </w:t>
      </w:r>
      <w:r w:rsidRPr="005F3E5E">
        <w:rPr>
          <w:sz w:val="20"/>
          <w:szCs w:val="20"/>
        </w:rPr>
        <w:t>adalah salah satu tanaman yang mudah diperoleh dan cukup ekonomis. Sawi Pakcoy merupakan jenis sawi yang banyak dibudidayakan. Masa tanam terbilang cukup pendek. Tanaman sawi pakcoy banyak manfaatnya karena sayuran mengandung banyak vitamin, mineral, dan serat. Vitamin yang terkandung dalam adalah K, A, C, E dan asam folat tergolong sangat tinggi [5].</w:t>
      </w:r>
    </w:p>
    <w:p w:rsidR="0016149B" w:rsidRDefault="0016149B" w:rsidP="001A5C68">
      <w:pPr>
        <w:ind w:firstLine="426"/>
        <w:jc w:val="both"/>
        <w:rPr>
          <w:sz w:val="20"/>
          <w:szCs w:val="20"/>
        </w:rPr>
      </w:pPr>
      <w:r w:rsidRPr="005F3E5E">
        <w:rPr>
          <w:sz w:val="20"/>
          <w:szCs w:val="20"/>
        </w:rPr>
        <w:t>Hidroponik merupakan system budidaya tanpa menggunakan tanah. Hidroponik disebut sebagai solusi bagi masyarakat perkotaan yang ingin Bertani secara mandiri namun tidak memiliki lahan yang cukup luas. Karena system ini memiliki banyak variasi bentuk yang mudah disesuaikan dengan ketersediaan lahan terbuka untuk budidayanya. Namun untuk dijadikan bisnis bagi petani modal usaha yang disiapkan cukup besar mengingat instalansi yang perlu disiapkan salain green house sebagai tempat budidaya. System ini dapat mempermudah kalangan masyarakat perkotaan dalam pemenuhan sumber gizi dengan ruang gerak yang terbatas. Terutama dengan menggunakan sitem wick, bermodalkan benda benda sederhana atau bahkan barang bekas seperti botol plastic air mineral sudah bisa untuk menanam sayuran hidroponik.</w:t>
      </w:r>
    </w:p>
    <w:p w:rsidR="0016149B" w:rsidRDefault="0016149B" w:rsidP="001A5C68">
      <w:pPr>
        <w:ind w:firstLine="426"/>
        <w:jc w:val="both"/>
        <w:rPr>
          <w:sz w:val="20"/>
          <w:szCs w:val="20"/>
        </w:rPr>
      </w:pPr>
      <w:r w:rsidRPr="005F3E5E">
        <w:rPr>
          <w:sz w:val="20"/>
          <w:szCs w:val="20"/>
        </w:rPr>
        <w:lastRenderedPageBreak/>
        <w:t>Selain itu sayuran hasil hidriponik memiliki klai</w:t>
      </w:r>
      <w:r>
        <w:rPr>
          <w:sz w:val="20"/>
          <w:szCs w:val="20"/>
        </w:rPr>
        <w:t>m</w:t>
      </w:r>
      <w:r w:rsidRPr="005F3E5E">
        <w:rPr>
          <w:sz w:val="20"/>
          <w:szCs w:val="20"/>
        </w:rPr>
        <w:t xml:space="preserve"> bebas hama dan penyakit serta lebih higienis dan bersih daripada sayuran konvensiolan yang ditanam di tanah</w:t>
      </w:r>
      <w:r>
        <w:rPr>
          <w:sz w:val="20"/>
          <w:szCs w:val="20"/>
        </w:rPr>
        <w:t xml:space="preserve"> [19]</w:t>
      </w:r>
      <w:r w:rsidRPr="005F3E5E">
        <w:rPr>
          <w:sz w:val="20"/>
          <w:szCs w:val="20"/>
        </w:rPr>
        <w:t>. Sayuran hidroponik lebih diminati karna memiliki ukuran yang lebih besar serta waktu panen yang lebh singkat daripada yang ditanam</w:t>
      </w:r>
      <w:r>
        <w:rPr>
          <w:sz w:val="20"/>
          <w:szCs w:val="20"/>
        </w:rPr>
        <w:t>.</w:t>
      </w:r>
    </w:p>
    <w:p w:rsidR="0016149B" w:rsidRDefault="0016149B" w:rsidP="001A5C68">
      <w:pPr>
        <w:ind w:firstLine="426"/>
        <w:jc w:val="both"/>
        <w:rPr>
          <w:sz w:val="20"/>
          <w:szCs w:val="20"/>
        </w:rPr>
      </w:pPr>
      <w:r w:rsidRPr="005F3E5E">
        <w:rPr>
          <w:sz w:val="20"/>
          <w:szCs w:val="20"/>
        </w:rPr>
        <w:t>Masalah yang sering dihadapi para petani di Indonesia salah satunya adalah Salinitas. Penurunan produktivitas dan hasil pertanian sekarang ini juga merupakan dampak dari tingkat salinitas yang tinggi. Definisi dari salinitas ialah konsentrasi garam terlarut yang berlebih dalam larutan tanah.</w:t>
      </w:r>
      <w:r>
        <w:rPr>
          <w:sz w:val="20"/>
          <w:szCs w:val="20"/>
        </w:rPr>
        <w:t xml:space="preserve"> P</w:t>
      </w:r>
      <w:r w:rsidRPr="005F3E5E">
        <w:rPr>
          <w:sz w:val="20"/>
          <w:szCs w:val="20"/>
        </w:rPr>
        <w:t>enanaman varietas tanaman pertanian yang memiliki toleran terhadap tingginya tingkat salinitas merupakan salah satu cara untuk memanfaatkan lahan dengan kadar salinitas yang tinggi</w:t>
      </w:r>
      <w:r>
        <w:rPr>
          <w:sz w:val="20"/>
          <w:szCs w:val="20"/>
        </w:rPr>
        <w:t xml:space="preserve"> [22]</w:t>
      </w:r>
      <w:r w:rsidRPr="005F3E5E">
        <w:rPr>
          <w:sz w:val="20"/>
          <w:szCs w:val="20"/>
        </w:rPr>
        <w:t>. Dampak dari salinitas dapat menurunkan hasil produksi tanaman yang berakibat pada produktifitas tanaman.</w:t>
      </w:r>
      <w:r>
        <w:rPr>
          <w:sz w:val="20"/>
          <w:szCs w:val="20"/>
        </w:rPr>
        <w:t xml:space="preserve"> </w:t>
      </w:r>
    </w:p>
    <w:p w:rsidR="0016149B" w:rsidRDefault="0016149B" w:rsidP="001A5C68">
      <w:pPr>
        <w:ind w:firstLine="426"/>
        <w:jc w:val="both"/>
        <w:rPr>
          <w:sz w:val="20"/>
          <w:szCs w:val="20"/>
        </w:rPr>
      </w:pPr>
      <w:r w:rsidRPr="005F3E5E">
        <w:rPr>
          <w:sz w:val="20"/>
          <w:szCs w:val="20"/>
        </w:rPr>
        <w:t>Sebanyak 20% dari 50% lahan beririgasi di seluruh dunia dipengaruhi oleh tingkat salinitas yang bervariasi,</w:t>
      </w:r>
      <w:r>
        <w:rPr>
          <w:sz w:val="20"/>
          <w:szCs w:val="20"/>
        </w:rPr>
        <w:t xml:space="preserve"> </w:t>
      </w:r>
      <w:r w:rsidRPr="005F3E5E">
        <w:rPr>
          <w:sz w:val="20"/>
          <w:szCs w:val="20"/>
        </w:rPr>
        <w:t xml:space="preserve">bahwa dalam kurun beberapa tahun ratusan ribu hektar lahan irigasi ditinggalkan oleh pemilik dikarenakan permasalahn salinitas </w:t>
      </w:r>
      <w:r>
        <w:rPr>
          <w:sz w:val="20"/>
          <w:szCs w:val="20"/>
        </w:rPr>
        <w:t>[2]</w:t>
      </w:r>
      <w:r w:rsidRPr="005F3E5E">
        <w:rPr>
          <w:sz w:val="20"/>
          <w:szCs w:val="20"/>
        </w:rPr>
        <w:t xml:space="preserve">. Salinitas merupakan salah satu permasalahan pengelolaan lahan pertanian. Dengan perubahan iklim yang semakin ekstrem, salinitas diperkirakan menjadi masalah serius di bidang pertanian </w:t>
      </w:r>
      <w:r>
        <w:rPr>
          <w:sz w:val="20"/>
          <w:szCs w:val="20"/>
        </w:rPr>
        <w:t>[10]</w:t>
      </w:r>
      <w:r w:rsidRPr="005F3E5E">
        <w:rPr>
          <w:sz w:val="20"/>
          <w:szCs w:val="20"/>
        </w:rPr>
        <w:t>.</w:t>
      </w:r>
      <w:r>
        <w:rPr>
          <w:sz w:val="20"/>
          <w:szCs w:val="20"/>
        </w:rPr>
        <w:t xml:space="preserve"> </w:t>
      </w:r>
    </w:p>
    <w:p w:rsidR="0016149B" w:rsidRDefault="0016149B" w:rsidP="001A5C68">
      <w:pPr>
        <w:ind w:firstLine="426"/>
        <w:jc w:val="both"/>
        <w:rPr>
          <w:sz w:val="20"/>
          <w:szCs w:val="20"/>
        </w:rPr>
      </w:pPr>
      <w:r>
        <w:rPr>
          <w:sz w:val="20"/>
          <w:szCs w:val="20"/>
        </w:rPr>
        <w:t>K</w:t>
      </w:r>
      <w:r w:rsidRPr="005F3E5E">
        <w:rPr>
          <w:sz w:val="20"/>
          <w:szCs w:val="20"/>
        </w:rPr>
        <w:t>adar salinitas yang diperbolehkan dalam sistem hidroponik adalah dibawah 2500 ppm</w:t>
      </w:r>
      <w:r>
        <w:rPr>
          <w:sz w:val="20"/>
          <w:szCs w:val="20"/>
        </w:rPr>
        <w:t xml:space="preserve"> [9]</w:t>
      </w:r>
      <w:r w:rsidRPr="005F3E5E">
        <w:rPr>
          <w:sz w:val="20"/>
          <w:szCs w:val="20"/>
        </w:rPr>
        <w:t>. Hal ini dikarenakan salinitas yang terlalu tinggi menandakan tingginya kadar logam berat yang terkandung dalam air yang menyebabkan tanaman menjadi keracunan. Mengacu pada penelitian tersebut penulis menggunakan kadar salinitas 500 ppm dan 1000 ppm, serta 0 ppm sebagai kontrol.</w:t>
      </w:r>
      <w:r>
        <w:rPr>
          <w:sz w:val="20"/>
          <w:szCs w:val="20"/>
        </w:rPr>
        <w:t xml:space="preserve"> </w:t>
      </w:r>
    </w:p>
    <w:p w:rsidR="0016149B" w:rsidRPr="005F3E5E" w:rsidRDefault="0016149B" w:rsidP="001A5C68">
      <w:pPr>
        <w:ind w:firstLine="426"/>
        <w:jc w:val="both"/>
        <w:rPr>
          <w:sz w:val="20"/>
          <w:szCs w:val="20"/>
        </w:rPr>
      </w:pPr>
      <w:r>
        <w:rPr>
          <w:sz w:val="20"/>
          <w:szCs w:val="20"/>
        </w:rPr>
        <w:t>P</w:t>
      </w:r>
      <w:r w:rsidRPr="005F3E5E">
        <w:rPr>
          <w:sz w:val="20"/>
          <w:szCs w:val="20"/>
        </w:rPr>
        <w:t>erkembangan total padatan terlarut pada buah melon dan tomat meningkat dengan diberikan salinitas bertaraf sedang</w:t>
      </w:r>
      <w:r>
        <w:rPr>
          <w:sz w:val="20"/>
          <w:szCs w:val="20"/>
        </w:rPr>
        <w:t xml:space="preserve"> [18]</w:t>
      </w:r>
      <w:r w:rsidRPr="005F3E5E">
        <w:rPr>
          <w:sz w:val="20"/>
          <w:szCs w:val="20"/>
        </w:rPr>
        <w:t>. Hal tersbut juga terbukti pada penundaan waktu berbunga pada tanaman tomat, namun pada tanaman bawang merah berbanding terbalik yaitu kemampuan berbunganya lebih awal.</w:t>
      </w:r>
    </w:p>
    <w:p w:rsidR="00953F53" w:rsidRDefault="00953F53">
      <w:pPr>
        <w:pStyle w:val="Heading1"/>
        <w:tabs>
          <w:tab w:val="left" w:pos="0"/>
        </w:tabs>
        <w:rPr>
          <w:sz w:val="24"/>
          <w:lang w:val="en-ID"/>
        </w:rPr>
      </w:pPr>
      <w:r w:rsidRPr="006C7A28">
        <w:rPr>
          <w:sz w:val="24"/>
        </w:rPr>
        <w:t xml:space="preserve">II. </w:t>
      </w:r>
      <w:proofErr w:type="spellStart"/>
      <w:r w:rsidR="00C01B0D">
        <w:rPr>
          <w:sz w:val="24"/>
          <w:lang w:val="en-ID"/>
        </w:rPr>
        <w:t>Metode</w:t>
      </w:r>
      <w:proofErr w:type="spellEnd"/>
    </w:p>
    <w:p w:rsidR="0016149B" w:rsidRPr="00AB61EA" w:rsidRDefault="0016149B" w:rsidP="001A5C68">
      <w:pPr>
        <w:pStyle w:val="ListParagraph"/>
        <w:autoSpaceDE w:val="0"/>
        <w:autoSpaceDN w:val="0"/>
        <w:adjustRightInd w:val="0"/>
        <w:ind w:left="0" w:firstLine="426"/>
        <w:jc w:val="both"/>
        <w:rPr>
          <w:sz w:val="20"/>
          <w:szCs w:val="20"/>
        </w:rPr>
      </w:pPr>
      <w:r w:rsidRPr="005277A3">
        <w:rPr>
          <w:sz w:val="20"/>
          <w:szCs w:val="20"/>
        </w:rPr>
        <w:t>Penelitian ini dilaksanaakan pada bulan September sampai Oktober 2020 dilaksanakan di jl. Anggrek, Pabean, Gempol, Kejapanan, Pasuruan.</w:t>
      </w:r>
      <w:r>
        <w:rPr>
          <w:sz w:val="20"/>
          <w:szCs w:val="20"/>
        </w:rPr>
        <w:t xml:space="preserve"> </w:t>
      </w:r>
      <w:r w:rsidRPr="005277A3">
        <w:rPr>
          <w:sz w:val="20"/>
          <w:szCs w:val="20"/>
        </w:rPr>
        <w:t>Penelitian ini menggunakan Rancagan Acak kelompok (RAK) di susun secara fa</w:t>
      </w:r>
      <w:r>
        <w:rPr>
          <w:sz w:val="20"/>
          <w:szCs w:val="20"/>
        </w:rPr>
        <w:t>k</w:t>
      </w:r>
      <w:r w:rsidRPr="005277A3">
        <w:rPr>
          <w:sz w:val="20"/>
          <w:szCs w:val="20"/>
        </w:rPr>
        <w:t>tor tunggal dan masing-masing perlakuan di ulang sebanyak 3 kali.</w:t>
      </w:r>
      <w:r>
        <w:rPr>
          <w:sz w:val="20"/>
          <w:szCs w:val="20"/>
        </w:rPr>
        <w:t xml:space="preserve"> Faktor terdiri dari S0 (salinitas 0 ppm), S1 (salinitas 1000 ppm), S2 (salinitas 1500 ppm), S3 (salinitas 2000 ppm), S4 (salinitas 2500 ppm), dan S5 (salinitas 3000 ppm). </w:t>
      </w:r>
      <w:r w:rsidRPr="005277A3">
        <w:rPr>
          <w:sz w:val="20"/>
          <w:szCs w:val="20"/>
        </w:rPr>
        <w:t xml:space="preserve">Aplikasi pelakuan salinitas (Nacl) cekaman salinitas dilakukan pada saat penanaman. Aplikasi perlakuan cekaman salinitas diberikan saat air dalam baki berkurang karena penguapan dan diserap oleh tanaman. Cekaman salinitas diberikan sesuai dengan perlakuan yaitu 0 ppm, 1000 ppm, dan 1500 ppm, 2000 ppm, 2500 ppm, 3000 ppm. Variable yang diamati antara lain tinggi tanaman, jumlah daun, luas daun, berat basah, berat konsumsi serta uji klorofil. Semua data yang diperoleh akan dianalisis dengan menggunakan analisis ragam sesuai dengan rancangan yang digunakan yaitu Rancangan Acak Kelompok (RAK). </w:t>
      </w:r>
      <w:proofErr w:type="spellStart"/>
      <w:r w:rsidR="003634BD">
        <w:rPr>
          <w:sz w:val="20"/>
          <w:szCs w:val="20"/>
          <w:lang w:val="en-US"/>
        </w:rPr>
        <w:t>Jika</w:t>
      </w:r>
      <w:proofErr w:type="spellEnd"/>
      <w:r w:rsidR="003634BD">
        <w:rPr>
          <w:sz w:val="20"/>
          <w:szCs w:val="20"/>
          <w:lang w:val="en-US"/>
        </w:rPr>
        <w:t xml:space="preserve"> h</w:t>
      </w:r>
      <w:r w:rsidRPr="005277A3">
        <w:rPr>
          <w:sz w:val="20"/>
          <w:szCs w:val="20"/>
        </w:rPr>
        <w:t>asil data yang di dapatkan</w:t>
      </w:r>
      <w:r w:rsidR="003634BD">
        <w:rPr>
          <w:sz w:val="20"/>
          <w:szCs w:val="20"/>
          <w:lang w:val="en-US"/>
        </w:rPr>
        <w:t xml:space="preserve"> </w:t>
      </w:r>
      <w:proofErr w:type="spellStart"/>
      <w:r w:rsidR="003634BD">
        <w:rPr>
          <w:sz w:val="20"/>
          <w:szCs w:val="20"/>
          <w:lang w:val="en-US"/>
        </w:rPr>
        <w:t>nyata</w:t>
      </w:r>
      <w:proofErr w:type="spellEnd"/>
      <w:r w:rsidRPr="005277A3">
        <w:rPr>
          <w:sz w:val="20"/>
          <w:szCs w:val="20"/>
        </w:rPr>
        <w:t xml:space="preserve"> </w:t>
      </w:r>
      <w:proofErr w:type="spellStart"/>
      <w:r w:rsidR="003634BD">
        <w:rPr>
          <w:sz w:val="20"/>
          <w:szCs w:val="20"/>
          <w:lang w:val="en-US"/>
        </w:rPr>
        <w:t>maka</w:t>
      </w:r>
      <w:proofErr w:type="spellEnd"/>
      <w:r w:rsidRPr="005277A3">
        <w:rPr>
          <w:sz w:val="20"/>
          <w:szCs w:val="20"/>
        </w:rPr>
        <w:t xml:space="preserve"> di lanjutkan dengan Uji Beda Nyata Jujur (BNJ) dengan taraf 5% dan 1%</w:t>
      </w:r>
    </w:p>
    <w:p w:rsidR="00F11B2C" w:rsidRPr="00F11B2C" w:rsidRDefault="00953F53" w:rsidP="00F11B2C">
      <w:pPr>
        <w:pStyle w:val="Heading1"/>
        <w:tabs>
          <w:tab w:val="left" w:pos="0"/>
        </w:tabs>
        <w:rPr>
          <w:sz w:val="24"/>
          <w:lang w:val="en-ID"/>
        </w:rPr>
      </w:pPr>
      <w:r w:rsidRPr="006C7A28">
        <w:rPr>
          <w:sz w:val="24"/>
        </w:rPr>
        <w:t xml:space="preserve">III. </w:t>
      </w:r>
      <w:proofErr w:type="spellStart"/>
      <w:r w:rsidR="00C01B0D">
        <w:rPr>
          <w:sz w:val="24"/>
          <w:lang w:val="en-ID"/>
        </w:rPr>
        <w:t>Hasil</w:t>
      </w:r>
      <w:proofErr w:type="spellEnd"/>
      <w:r w:rsidR="00C01B0D">
        <w:rPr>
          <w:sz w:val="24"/>
          <w:lang w:val="en-ID"/>
        </w:rPr>
        <w:t xml:space="preserve"> </w:t>
      </w:r>
      <w:proofErr w:type="spellStart"/>
      <w:r w:rsidR="00C01B0D">
        <w:rPr>
          <w:sz w:val="24"/>
          <w:lang w:val="en-ID"/>
        </w:rPr>
        <w:t>dan</w:t>
      </w:r>
      <w:proofErr w:type="spellEnd"/>
      <w:r w:rsidR="00C01B0D">
        <w:rPr>
          <w:sz w:val="24"/>
          <w:lang w:val="en-ID"/>
        </w:rPr>
        <w:t xml:space="preserve"> </w:t>
      </w:r>
      <w:proofErr w:type="spellStart"/>
      <w:r w:rsidR="00C01B0D">
        <w:rPr>
          <w:sz w:val="24"/>
          <w:lang w:val="en-ID"/>
        </w:rPr>
        <w:t>Pembahasan</w:t>
      </w:r>
      <w:proofErr w:type="spellEnd"/>
    </w:p>
    <w:p w:rsidR="001421B9" w:rsidRPr="005277A3" w:rsidRDefault="001421B9" w:rsidP="001A5C68">
      <w:pPr>
        <w:ind w:firstLine="426"/>
        <w:jc w:val="both"/>
        <w:rPr>
          <w:sz w:val="20"/>
          <w:szCs w:val="20"/>
        </w:rPr>
      </w:pPr>
      <w:bookmarkStart w:id="1" w:name="_Hlk64389342"/>
      <w:r w:rsidRPr="005277A3">
        <w:rPr>
          <w:color w:val="000000" w:themeColor="text1"/>
          <w:sz w:val="20"/>
          <w:szCs w:val="20"/>
        </w:rPr>
        <w:t xml:space="preserve">Hasil analisis ragam </w:t>
      </w:r>
      <w:r w:rsidRPr="005277A3">
        <w:rPr>
          <w:sz w:val="20"/>
          <w:szCs w:val="20"/>
        </w:rPr>
        <w:t>menunjukkan bahwa</w:t>
      </w:r>
      <w:r>
        <w:rPr>
          <w:sz w:val="20"/>
          <w:szCs w:val="20"/>
          <w:lang w:val="en-US"/>
        </w:rPr>
        <w:t xml:space="preserve"> </w:t>
      </w:r>
      <w:proofErr w:type="spellStart"/>
      <w:r>
        <w:rPr>
          <w:sz w:val="20"/>
          <w:szCs w:val="20"/>
          <w:lang w:val="en-US"/>
        </w:rPr>
        <w:t>perlakuan</w:t>
      </w:r>
      <w:proofErr w:type="spellEnd"/>
      <w:r>
        <w:rPr>
          <w:sz w:val="20"/>
          <w:szCs w:val="20"/>
          <w:lang w:val="en-US"/>
        </w:rPr>
        <w:t xml:space="preserve"> </w:t>
      </w:r>
      <w:proofErr w:type="spellStart"/>
      <w:r>
        <w:rPr>
          <w:sz w:val="20"/>
          <w:szCs w:val="20"/>
          <w:lang w:val="en-US"/>
        </w:rPr>
        <w:t>pemberian</w:t>
      </w:r>
      <w:proofErr w:type="spellEnd"/>
      <w:r>
        <w:rPr>
          <w:sz w:val="20"/>
          <w:szCs w:val="20"/>
          <w:lang w:val="en-US"/>
        </w:rPr>
        <w:t xml:space="preserve"> </w:t>
      </w:r>
      <w:proofErr w:type="spellStart"/>
      <w:r>
        <w:rPr>
          <w:sz w:val="20"/>
          <w:szCs w:val="20"/>
          <w:lang w:val="en-US"/>
        </w:rPr>
        <w:t>cekaman</w:t>
      </w:r>
      <w:proofErr w:type="spellEnd"/>
      <w:r>
        <w:rPr>
          <w:sz w:val="20"/>
          <w:szCs w:val="20"/>
          <w:lang w:val="en-US"/>
        </w:rPr>
        <w:t xml:space="preserve"> </w:t>
      </w:r>
      <w:proofErr w:type="spellStart"/>
      <w:r>
        <w:rPr>
          <w:sz w:val="20"/>
          <w:szCs w:val="20"/>
          <w:lang w:val="en-US"/>
        </w:rPr>
        <w:t>salinitas</w:t>
      </w:r>
      <w:proofErr w:type="spellEnd"/>
      <w:r>
        <w:rPr>
          <w:sz w:val="20"/>
          <w:szCs w:val="20"/>
          <w:lang w:val="en-US"/>
        </w:rPr>
        <w:t xml:space="preserve"> </w:t>
      </w:r>
      <w:proofErr w:type="spellStart"/>
      <w:r>
        <w:rPr>
          <w:sz w:val="20"/>
          <w:szCs w:val="20"/>
          <w:lang w:val="en-US"/>
        </w:rPr>
        <w:t>tidak</w:t>
      </w:r>
      <w:proofErr w:type="spellEnd"/>
      <w:r w:rsidR="00AB04EA">
        <w:rPr>
          <w:sz w:val="20"/>
          <w:szCs w:val="20"/>
          <w:lang w:val="en-US"/>
        </w:rPr>
        <w:t xml:space="preserve"> </w:t>
      </w:r>
      <w:proofErr w:type="spellStart"/>
      <w:r w:rsidR="00AB04EA">
        <w:rPr>
          <w:sz w:val="20"/>
          <w:szCs w:val="20"/>
          <w:lang w:val="en-US"/>
        </w:rPr>
        <w:t>memberikan</w:t>
      </w:r>
      <w:proofErr w:type="spellEnd"/>
      <w:r w:rsidR="00AB04EA">
        <w:rPr>
          <w:sz w:val="20"/>
          <w:szCs w:val="20"/>
          <w:lang w:val="en-US"/>
        </w:rPr>
        <w:t xml:space="preserve"> </w:t>
      </w:r>
      <w:proofErr w:type="spellStart"/>
      <w:r w:rsidR="00AB04EA">
        <w:rPr>
          <w:sz w:val="20"/>
          <w:szCs w:val="20"/>
          <w:lang w:val="en-US"/>
        </w:rPr>
        <w:t>respon</w:t>
      </w:r>
      <w:proofErr w:type="spellEnd"/>
      <w:r w:rsidR="00AB04EA">
        <w:rPr>
          <w:sz w:val="20"/>
          <w:szCs w:val="20"/>
          <w:lang w:val="en-US"/>
        </w:rPr>
        <w:t xml:space="preserve"> yang </w:t>
      </w:r>
      <w:proofErr w:type="spellStart"/>
      <w:r w:rsidR="00AB04EA">
        <w:rPr>
          <w:sz w:val="20"/>
          <w:szCs w:val="20"/>
          <w:lang w:val="en-US"/>
        </w:rPr>
        <w:t>nyata</w:t>
      </w:r>
      <w:proofErr w:type="spellEnd"/>
      <w:r w:rsidR="00AB04EA">
        <w:rPr>
          <w:sz w:val="20"/>
          <w:szCs w:val="20"/>
          <w:lang w:val="en-US"/>
        </w:rPr>
        <w:t xml:space="preserve"> </w:t>
      </w:r>
      <w:proofErr w:type="spellStart"/>
      <w:r w:rsidR="00AB04EA">
        <w:rPr>
          <w:sz w:val="20"/>
          <w:szCs w:val="20"/>
          <w:lang w:val="en-US"/>
        </w:rPr>
        <w:t>terhadap</w:t>
      </w:r>
      <w:proofErr w:type="spellEnd"/>
      <w:r w:rsidR="00AB04EA">
        <w:rPr>
          <w:sz w:val="20"/>
          <w:szCs w:val="20"/>
          <w:lang w:val="en-US"/>
        </w:rPr>
        <w:t xml:space="preserve"> variable </w:t>
      </w:r>
      <w:proofErr w:type="spellStart"/>
      <w:r w:rsidR="00AB04EA">
        <w:rPr>
          <w:sz w:val="20"/>
          <w:szCs w:val="20"/>
          <w:lang w:val="en-US"/>
        </w:rPr>
        <w:t>pengamatan</w:t>
      </w:r>
      <w:proofErr w:type="spellEnd"/>
      <w:r w:rsidR="00AB04EA">
        <w:rPr>
          <w:sz w:val="20"/>
          <w:szCs w:val="20"/>
          <w:lang w:val="en-US"/>
        </w:rPr>
        <w:t xml:space="preserve"> </w:t>
      </w:r>
      <w:proofErr w:type="spellStart"/>
      <w:r w:rsidR="00AB04EA">
        <w:rPr>
          <w:sz w:val="20"/>
          <w:szCs w:val="20"/>
          <w:lang w:val="en-US"/>
        </w:rPr>
        <w:t>tinggi</w:t>
      </w:r>
      <w:proofErr w:type="spellEnd"/>
      <w:r w:rsidR="00AB04EA">
        <w:rPr>
          <w:sz w:val="20"/>
          <w:szCs w:val="20"/>
          <w:lang w:val="en-US"/>
        </w:rPr>
        <w:t xml:space="preserve"> </w:t>
      </w:r>
      <w:proofErr w:type="spellStart"/>
      <w:r w:rsidR="00AB04EA">
        <w:rPr>
          <w:sz w:val="20"/>
          <w:szCs w:val="20"/>
          <w:lang w:val="en-US"/>
        </w:rPr>
        <w:t>tanaman</w:t>
      </w:r>
      <w:proofErr w:type="spellEnd"/>
      <w:r w:rsidR="00AB04EA">
        <w:rPr>
          <w:sz w:val="20"/>
          <w:szCs w:val="20"/>
          <w:lang w:val="en-US"/>
        </w:rPr>
        <w:t xml:space="preserve"> </w:t>
      </w:r>
      <w:proofErr w:type="spellStart"/>
      <w:r w:rsidR="00AB04EA">
        <w:rPr>
          <w:sz w:val="20"/>
          <w:szCs w:val="20"/>
          <w:lang w:val="en-US"/>
        </w:rPr>
        <w:t>pada</w:t>
      </w:r>
      <w:proofErr w:type="spellEnd"/>
      <w:r w:rsidR="00AB04EA">
        <w:rPr>
          <w:sz w:val="20"/>
          <w:szCs w:val="20"/>
          <w:lang w:val="en-US"/>
        </w:rPr>
        <w:t xml:space="preserve"> </w:t>
      </w:r>
      <w:proofErr w:type="spellStart"/>
      <w:r w:rsidR="00AB04EA">
        <w:rPr>
          <w:sz w:val="20"/>
          <w:szCs w:val="20"/>
          <w:lang w:val="en-US"/>
        </w:rPr>
        <w:t>semua</w:t>
      </w:r>
      <w:proofErr w:type="spellEnd"/>
      <w:r w:rsidR="00AB04EA">
        <w:rPr>
          <w:sz w:val="20"/>
          <w:szCs w:val="20"/>
          <w:lang w:val="en-US"/>
        </w:rPr>
        <w:t xml:space="preserve"> </w:t>
      </w:r>
      <w:proofErr w:type="spellStart"/>
      <w:r w:rsidR="00AB04EA">
        <w:rPr>
          <w:sz w:val="20"/>
          <w:szCs w:val="20"/>
          <w:lang w:val="en-US"/>
        </w:rPr>
        <w:t>umur</w:t>
      </w:r>
      <w:proofErr w:type="spellEnd"/>
      <w:r w:rsidR="00AB04EA">
        <w:rPr>
          <w:sz w:val="20"/>
          <w:szCs w:val="20"/>
          <w:lang w:val="en-US"/>
        </w:rPr>
        <w:t xml:space="preserve"> </w:t>
      </w:r>
      <w:proofErr w:type="spellStart"/>
      <w:r w:rsidR="00AB04EA">
        <w:rPr>
          <w:sz w:val="20"/>
          <w:szCs w:val="20"/>
          <w:lang w:val="en-US"/>
        </w:rPr>
        <w:t>pengamatan</w:t>
      </w:r>
      <w:proofErr w:type="spellEnd"/>
      <w:r w:rsidRPr="005277A3">
        <w:rPr>
          <w:sz w:val="20"/>
          <w:szCs w:val="20"/>
        </w:rPr>
        <w:t xml:space="preserve"> </w:t>
      </w:r>
      <w:r w:rsidR="00AB04EA">
        <w:rPr>
          <w:sz w:val="20"/>
          <w:szCs w:val="20"/>
          <w:lang w:val="en-US"/>
        </w:rPr>
        <w:t xml:space="preserve">(12, 24, </w:t>
      </w:r>
      <w:proofErr w:type="spellStart"/>
      <w:r w:rsidR="00AB04EA">
        <w:rPr>
          <w:sz w:val="20"/>
          <w:szCs w:val="20"/>
          <w:lang w:val="en-US"/>
        </w:rPr>
        <w:t>dan</w:t>
      </w:r>
      <w:proofErr w:type="spellEnd"/>
      <w:r w:rsidR="00AB04EA">
        <w:rPr>
          <w:sz w:val="20"/>
          <w:szCs w:val="20"/>
          <w:lang w:val="en-US"/>
        </w:rPr>
        <w:t xml:space="preserve"> 36 </w:t>
      </w:r>
      <w:proofErr w:type="spellStart"/>
      <w:r w:rsidR="00AB04EA">
        <w:rPr>
          <w:sz w:val="20"/>
          <w:szCs w:val="20"/>
          <w:lang w:val="en-US"/>
        </w:rPr>
        <w:t>hst</w:t>
      </w:r>
      <w:proofErr w:type="spellEnd"/>
      <w:r w:rsidR="00AB04EA">
        <w:rPr>
          <w:sz w:val="20"/>
          <w:szCs w:val="20"/>
          <w:lang w:val="en-US"/>
        </w:rPr>
        <w:t xml:space="preserve">) </w:t>
      </w:r>
      <w:r w:rsidRPr="005277A3">
        <w:rPr>
          <w:sz w:val="20"/>
          <w:szCs w:val="20"/>
        </w:rPr>
        <w:t>(lampiran 2). Data hasil analisis dapat dilihat pada tabel 2.</w:t>
      </w:r>
    </w:p>
    <w:bookmarkEnd w:id="1"/>
    <w:p w:rsidR="001421B9" w:rsidRPr="005277A3" w:rsidRDefault="001421B9" w:rsidP="001421B9">
      <w:pPr>
        <w:jc w:val="both"/>
        <w:rPr>
          <w:sz w:val="20"/>
          <w:szCs w:val="20"/>
        </w:rPr>
      </w:pPr>
      <w:r w:rsidRPr="005277A3">
        <w:rPr>
          <w:sz w:val="20"/>
          <w:szCs w:val="20"/>
        </w:rPr>
        <w:t>Tabel 2. Rata-rata tinggi tanaman sawi pakcoy (</w:t>
      </w:r>
      <w:r w:rsidRPr="005277A3">
        <w:rPr>
          <w:i/>
          <w:iCs/>
          <w:sz w:val="20"/>
          <w:szCs w:val="20"/>
        </w:rPr>
        <w:t>Brassica rapa</w:t>
      </w:r>
      <w:r w:rsidRPr="005277A3">
        <w:rPr>
          <w:sz w:val="20"/>
          <w:szCs w:val="20"/>
        </w:rPr>
        <w:t xml:space="preserve"> L.) terhadap kondisi cekaman salinitas</w:t>
      </w:r>
    </w:p>
    <w:tbl>
      <w:tblPr>
        <w:tblW w:w="6480" w:type="dxa"/>
        <w:jc w:val="center"/>
        <w:tblLook w:val="04A0" w:firstRow="1" w:lastRow="0" w:firstColumn="1" w:lastColumn="0" w:noHBand="0" w:noVBand="1"/>
      </w:tblPr>
      <w:tblGrid>
        <w:gridCol w:w="1620"/>
        <w:gridCol w:w="1620"/>
        <w:gridCol w:w="1620"/>
        <w:gridCol w:w="1620"/>
      </w:tblGrid>
      <w:tr w:rsidR="0016149B" w:rsidRPr="005277A3" w:rsidTr="00A80FA1">
        <w:trPr>
          <w:trHeight w:val="23"/>
          <w:jc w:val="center"/>
        </w:trPr>
        <w:tc>
          <w:tcPr>
            <w:tcW w:w="1620" w:type="dxa"/>
            <w:vMerge w:val="restart"/>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Perlakuan</w:t>
            </w:r>
          </w:p>
        </w:tc>
        <w:tc>
          <w:tcPr>
            <w:tcW w:w="4860" w:type="dxa"/>
            <w:gridSpan w:val="3"/>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PENGAMATAN</w:t>
            </w:r>
          </w:p>
        </w:tc>
      </w:tr>
      <w:tr w:rsidR="0016149B" w:rsidRPr="005277A3" w:rsidTr="00A80FA1">
        <w:trPr>
          <w:trHeight w:val="23"/>
          <w:jc w:val="center"/>
        </w:trPr>
        <w:tc>
          <w:tcPr>
            <w:tcW w:w="1620" w:type="dxa"/>
            <w:vMerge/>
            <w:tcBorders>
              <w:bottom w:val="single" w:sz="4" w:space="0" w:color="auto"/>
            </w:tcBorders>
            <w:vAlign w:val="center"/>
            <w:hideMark/>
          </w:tcPr>
          <w:p w:rsidR="0016149B" w:rsidRPr="005277A3" w:rsidRDefault="0016149B" w:rsidP="00A80FA1">
            <w:pPr>
              <w:jc w:val="center"/>
              <w:rPr>
                <w:sz w:val="20"/>
                <w:szCs w:val="20"/>
              </w:rPr>
            </w:pP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12 HST</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24 HST</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36 HST</w:t>
            </w:r>
          </w:p>
        </w:tc>
      </w:tr>
      <w:tr w:rsidR="0016149B" w:rsidRPr="005277A3" w:rsidTr="00A80FA1">
        <w:trPr>
          <w:trHeight w:val="23"/>
          <w:jc w:val="center"/>
        </w:trPr>
        <w:tc>
          <w:tcPr>
            <w:tcW w:w="1620" w:type="dxa"/>
            <w:tcBorders>
              <w:top w:val="single" w:sz="4" w:space="0" w:color="auto"/>
            </w:tcBorders>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S0</w:t>
            </w:r>
          </w:p>
        </w:tc>
        <w:tc>
          <w:tcPr>
            <w:tcW w:w="1620"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9.70</w:t>
            </w:r>
          </w:p>
        </w:tc>
        <w:tc>
          <w:tcPr>
            <w:tcW w:w="1620"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14.67</w:t>
            </w:r>
          </w:p>
        </w:tc>
        <w:tc>
          <w:tcPr>
            <w:tcW w:w="1620"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16.17</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S1</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9.80</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15.17</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15.37</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S2</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9.53</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14.70</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16.33</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S3</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9.83</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15.70</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16.87</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S4</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9.87</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14.80</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16.17</w:t>
            </w:r>
          </w:p>
        </w:tc>
      </w:tr>
      <w:tr w:rsidR="0016149B" w:rsidRPr="005277A3" w:rsidTr="00A80FA1">
        <w:trPr>
          <w:trHeight w:val="23"/>
          <w:jc w:val="center"/>
        </w:trPr>
        <w:tc>
          <w:tcPr>
            <w:tcW w:w="1620" w:type="dxa"/>
            <w:tcBorders>
              <w:bottom w:val="single" w:sz="4" w:space="0" w:color="auto"/>
            </w:tcBorders>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S5</w:t>
            </w:r>
          </w:p>
        </w:tc>
        <w:tc>
          <w:tcPr>
            <w:tcW w:w="1620"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9.43</w:t>
            </w:r>
          </w:p>
        </w:tc>
        <w:tc>
          <w:tcPr>
            <w:tcW w:w="1620"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14.17</w:t>
            </w:r>
          </w:p>
        </w:tc>
        <w:tc>
          <w:tcPr>
            <w:tcW w:w="1620"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16.57</w:t>
            </w:r>
          </w:p>
        </w:tc>
      </w:tr>
      <w:tr w:rsidR="0016149B" w:rsidRPr="005277A3" w:rsidTr="00A80FA1">
        <w:trPr>
          <w:trHeight w:val="23"/>
          <w:jc w:val="center"/>
        </w:trPr>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BNJ 5%</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TN</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TN</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TN</w:t>
            </w:r>
          </w:p>
        </w:tc>
      </w:tr>
    </w:tbl>
    <w:p w:rsidR="0016149B" w:rsidRPr="005277A3" w:rsidRDefault="0016149B" w:rsidP="0016149B">
      <w:pPr>
        <w:jc w:val="both"/>
        <w:rPr>
          <w:sz w:val="20"/>
          <w:szCs w:val="20"/>
        </w:rPr>
      </w:pPr>
      <w:r w:rsidRPr="005277A3">
        <w:rPr>
          <w:sz w:val="20"/>
          <w:szCs w:val="20"/>
        </w:rPr>
        <w:t>Keterangan: tidak berbeda nyata (TN)</w:t>
      </w:r>
    </w:p>
    <w:p w:rsidR="0016149B" w:rsidRPr="005277A3" w:rsidRDefault="0016149B" w:rsidP="001A5C68">
      <w:pPr>
        <w:ind w:firstLine="426"/>
        <w:jc w:val="both"/>
        <w:rPr>
          <w:sz w:val="20"/>
          <w:szCs w:val="20"/>
        </w:rPr>
      </w:pPr>
      <w:bookmarkStart w:id="2" w:name="_Hlk64389405"/>
      <w:r w:rsidRPr="005277A3">
        <w:rPr>
          <w:sz w:val="20"/>
          <w:szCs w:val="20"/>
        </w:rPr>
        <w:t xml:space="preserve">Dari hasil uji anova seperti yang ada pada tabel diatas menunjukkan bahwa tidak adanya </w:t>
      </w:r>
      <w:proofErr w:type="spellStart"/>
      <w:r w:rsidR="00581C10">
        <w:rPr>
          <w:sz w:val="20"/>
          <w:szCs w:val="20"/>
          <w:lang w:val="en-US"/>
        </w:rPr>
        <w:t>respon</w:t>
      </w:r>
      <w:proofErr w:type="spellEnd"/>
      <w:r w:rsidRPr="005277A3">
        <w:rPr>
          <w:sz w:val="20"/>
          <w:szCs w:val="20"/>
        </w:rPr>
        <w:t xml:space="preserve"> pada perlakuan pemberian cekaman salinitas. Dapat diketahui dari tabel tersebut bahwa pada pengamatan pertama hasil rerata tinggi tanaman terbaik pengamatan pertama</w:t>
      </w:r>
      <w:r>
        <w:rPr>
          <w:sz w:val="20"/>
          <w:szCs w:val="20"/>
        </w:rPr>
        <w:t xml:space="preserve"> </w:t>
      </w:r>
      <w:r w:rsidRPr="005277A3">
        <w:rPr>
          <w:sz w:val="20"/>
          <w:szCs w:val="20"/>
        </w:rPr>
        <w:t xml:space="preserve">(12 HST) ialah perlakuan S4 (salinitas 2500 ppm) dengan angka 9,87 cm, pengamatan kedua (24 HST) dan ketiga (36 HST) ialah perlakuan S3(salinitas 2000 ppm) dengan angka 15,70 cm dan 16,87 cm. Hal tersebut membuktikan bahwa tanaman pakcoy toleran terhadap salinitas tinggi serta mampu tumbuh dengan baik terutama pada pertumbuhan tinggi tanaman hingga salinitas 3000 ppm. </w:t>
      </w:r>
      <w:bookmarkEnd w:id="2"/>
    </w:p>
    <w:p w:rsidR="0016149B" w:rsidRPr="005277A3" w:rsidRDefault="0016149B" w:rsidP="001A5C68">
      <w:pPr>
        <w:ind w:firstLine="426"/>
        <w:jc w:val="both"/>
        <w:rPr>
          <w:sz w:val="20"/>
          <w:szCs w:val="20"/>
        </w:rPr>
      </w:pPr>
      <w:bookmarkStart w:id="3" w:name="_Hlk64389421"/>
      <w:r w:rsidRPr="005277A3">
        <w:rPr>
          <w:sz w:val="20"/>
          <w:szCs w:val="20"/>
        </w:rPr>
        <w:lastRenderedPageBreak/>
        <w:t xml:space="preserve">NaCl merupakan garam terlarut yang juga merupakan hara esensial bagi tanaman, namun juka kadar yang terkandung dalam larutan nutrisi hidroponik yang diberikan berlebih dapat membuat pertumbuhan tanaman melemah. Respon tumbuhan terhadap konsentrasi garam tersebut berbeda beda sesuai dengan jenis tanamannya. Pada tanaman tertentu dapat meningkatkan pertumbuhan, namun pada tanaman lainnya justru dapat memperburuk pertumbuhan hingga menyebabkan keracunan bagi tanaman. </w:t>
      </w:r>
    </w:p>
    <w:p w:rsidR="0016149B" w:rsidRPr="005277A3" w:rsidRDefault="0016149B" w:rsidP="001A5C68">
      <w:pPr>
        <w:ind w:firstLine="426"/>
        <w:jc w:val="both"/>
        <w:rPr>
          <w:sz w:val="20"/>
          <w:szCs w:val="20"/>
        </w:rPr>
      </w:pPr>
      <w:r w:rsidRPr="005277A3">
        <w:rPr>
          <w:sz w:val="20"/>
          <w:szCs w:val="20"/>
        </w:rPr>
        <w:t xml:space="preserve">Kondisi salinitas yang tinggi dengan kadar garam NaCl yang tinggi mengakibatkan penyerapan unsur hara serta ion menjadi tidak seimbang, hal tersebut akan memicu tekanan osmotik menjadi meningkat dan menurunkan kemampuan tanaman dalam menyrap air, maka hal tersebut berpengaruh pada penurunan kemampuan fotosintesis dan metabolisme tanaman. </w:t>
      </w:r>
    </w:p>
    <w:p w:rsidR="0016149B" w:rsidRPr="005277A3" w:rsidRDefault="00AB04EA" w:rsidP="001A5C68">
      <w:pPr>
        <w:ind w:firstLine="426"/>
        <w:jc w:val="both"/>
        <w:rPr>
          <w:sz w:val="20"/>
          <w:szCs w:val="20"/>
        </w:rPr>
      </w:pPr>
      <w:bookmarkStart w:id="4" w:name="_Hlk64389579"/>
      <w:bookmarkEnd w:id="3"/>
      <w:r w:rsidRPr="005277A3">
        <w:rPr>
          <w:color w:val="000000" w:themeColor="text1"/>
          <w:sz w:val="20"/>
          <w:szCs w:val="20"/>
        </w:rPr>
        <w:t xml:space="preserve">Hasil analisis ragam </w:t>
      </w:r>
      <w:r w:rsidRPr="005277A3">
        <w:rPr>
          <w:sz w:val="20"/>
          <w:szCs w:val="20"/>
        </w:rPr>
        <w:t>menunjukkan bahwa</w:t>
      </w:r>
      <w:r>
        <w:rPr>
          <w:sz w:val="20"/>
          <w:szCs w:val="20"/>
          <w:lang w:val="en-US"/>
        </w:rPr>
        <w:t xml:space="preserve"> </w:t>
      </w:r>
      <w:proofErr w:type="spellStart"/>
      <w:r>
        <w:rPr>
          <w:sz w:val="20"/>
          <w:szCs w:val="20"/>
          <w:lang w:val="en-US"/>
        </w:rPr>
        <w:t>perlakuan</w:t>
      </w:r>
      <w:proofErr w:type="spellEnd"/>
      <w:r>
        <w:rPr>
          <w:sz w:val="20"/>
          <w:szCs w:val="20"/>
          <w:lang w:val="en-US"/>
        </w:rPr>
        <w:t xml:space="preserve"> </w:t>
      </w:r>
      <w:proofErr w:type="spellStart"/>
      <w:r>
        <w:rPr>
          <w:sz w:val="20"/>
          <w:szCs w:val="20"/>
          <w:lang w:val="en-US"/>
        </w:rPr>
        <w:t>pemberian</w:t>
      </w:r>
      <w:proofErr w:type="spellEnd"/>
      <w:r>
        <w:rPr>
          <w:sz w:val="20"/>
          <w:szCs w:val="20"/>
          <w:lang w:val="en-US"/>
        </w:rPr>
        <w:t xml:space="preserve"> </w:t>
      </w:r>
      <w:proofErr w:type="spellStart"/>
      <w:r>
        <w:rPr>
          <w:sz w:val="20"/>
          <w:szCs w:val="20"/>
          <w:lang w:val="en-US"/>
        </w:rPr>
        <w:t>cekaman</w:t>
      </w:r>
      <w:proofErr w:type="spellEnd"/>
      <w:r>
        <w:rPr>
          <w:sz w:val="20"/>
          <w:szCs w:val="20"/>
          <w:lang w:val="en-US"/>
        </w:rPr>
        <w:t xml:space="preserve"> </w:t>
      </w:r>
      <w:proofErr w:type="spellStart"/>
      <w:r>
        <w:rPr>
          <w:sz w:val="20"/>
          <w:szCs w:val="20"/>
          <w:lang w:val="en-US"/>
        </w:rPr>
        <w:t>salinitas</w:t>
      </w:r>
      <w:proofErr w:type="spellEnd"/>
      <w:r>
        <w:rPr>
          <w:sz w:val="20"/>
          <w:szCs w:val="20"/>
          <w:lang w:val="en-US"/>
        </w:rPr>
        <w:t xml:space="preserve"> </w:t>
      </w:r>
      <w:proofErr w:type="spellStart"/>
      <w:r>
        <w:rPr>
          <w:sz w:val="20"/>
          <w:szCs w:val="20"/>
          <w:lang w:val="en-US"/>
        </w:rPr>
        <w:t>tidak</w:t>
      </w:r>
      <w:proofErr w:type="spellEnd"/>
      <w:r>
        <w:rPr>
          <w:sz w:val="20"/>
          <w:szCs w:val="20"/>
          <w:lang w:val="en-US"/>
        </w:rPr>
        <w:t xml:space="preserve"> </w:t>
      </w:r>
      <w:proofErr w:type="spellStart"/>
      <w:r>
        <w:rPr>
          <w:sz w:val="20"/>
          <w:szCs w:val="20"/>
          <w:lang w:val="en-US"/>
        </w:rPr>
        <w:t>memberikan</w:t>
      </w:r>
      <w:proofErr w:type="spellEnd"/>
      <w:r>
        <w:rPr>
          <w:sz w:val="20"/>
          <w:szCs w:val="20"/>
          <w:lang w:val="en-US"/>
        </w:rPr>
        <w:t xml:space="preserve"> </w:t>
      </w:r>
      <w:proofErr w:type="spellStart"/>
      <w:r>
        <w:rPr>
          <w:sz w:val="20"/>
          <w:szCs w:val="20"/>
          <w:lang w:val="en-US"/>
        </w:rPr>
        <w:t>respon</w:t>
      </w:r>
      <w:proofErr w:type="spellEnd"/>
      <w:r>
        <w:rPr>
          <w:sz w:val="20"/>
          <w:szCs w:val="20"/>
          <w:lang w:val="en-US"/>
        </w:rPr>
        <w:t xml:space="preserve"> yang </w:t>
      </w:r>
      <w:proofErr w:type="spellStart"/>
      <w:r>
        <w:rPr>
          <w:sz w:val="20"/>
          <w:szCs w:val="20"/>
          <w:lang w:val="en-US"/>
        </w:rPr>
        <w:t>nyata</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variable </w:t>
      </w:r>
      <w:proofErr w:type="spellStart"/>
      <w:r>
        <w:rPr>
          <w:sz w:val="20"/>
          <w:szCs w:val="20"/>
          <w:lang w:val="en-US"/>
        </w:rPr>
        <w:t>pengamatan</w:t>
      </w:r>
      <w:proofErr w:type="spellEnd"/>
      <w:r>
        <w:rPr>
          <w:sz w:val="20"/>
          <w:szCs w:val="20"/>
          <w:lang w:val="en-US"/>
        </w:rPr>
        <w:t xml:space="preserve"> </w:t>
      </w:r>
      <w:proofErr w:type="spellStart"/>
      <w:r>
        <w:rPr>
          <w:sz w:val="20"/>
          <w:szCs w:val="20"/>
          <w:lang w:val="en-US"/>
        </w:rPr>
        <w:t>jumlah</w:t>
      </w:r>
      <w:proofErr w:type="spellEnd"/>
      <w:r>
        <w:rPr>
          <w:sz w:val="20"/>
          <w:szCs w:val="20"/>
          <w:lang w:val="en-US"/>
        </w:rPr>
        <w:t xml:space="preserve"> </w:t>
      </w:r>
      <w:proofErr w:type="spellStart"/>
      <w:r>
        <w:rPr>
          <w:sz w:val="20"/>
          <w:szCs w:val="20"/>
          <w:lang w:val="en-US"/>
        </w:rPr>
        <w:t>daun</w:t>
      </w:r>
      <w:proofErr w:type="spellEnd"/>
      <w:r>
        <w:rPr>
          <w:sz w:val="20"/>
          <w:szCs w:val="20"/>
          <w:lang w:val="en-US"/>
        </w:rPr>
        <w:t xml:space="preserve"> </w:t>
      </w:r>
      <w:proofErr w:type="spellStart"/>
      <w:r>
        <w:rPr>
          <w:sz w:val="20"/>
          <w:szCs w:val="20"/>
          <w:lang w:val="en-US"/>
        </w:rPr>
        <w:t>pada</w:t>
      </w:r>
      <w:proofErr w:type="spellEnd"/>
      <w:r>
        <w:rPr>
          <w:sz w:val="20"/>
          <w:szCs w:val="20"/>
          <w:lang w:val="en-US"/>
        </w:rPr>
        <w:t xml:space="preserve"> </w:t>
      </w:r>
      <w:proofErr w:type="spellStart"/>
      <w:r>
        <w:rPr>
          <w:sz w:val="20"/>
          <w:szCs w:val="20"/>
          <w:lang w:val="en-US"/>
        </w:rPr>
        <w:t>semua</w:t>
      </w:r>
      <w:proofErr w:type="spellEnd"/>
      <w:r>
        <w:rPr>
          <w:sz w:val="20"/>
          <w:szCs w:val="20"/>
          <w:lang w:val="en-US"/>
        </w:rPr>
        <w:t xml:space="preserve"> </w:t>
      </w:r>
      <w:proofErr w:type="spellStart"/>
      <w:r>
        <w:rPr>
          <w:sz w:val="20"/>
          <w:szCs w:val="20"/>
          <w:lang w:val="en-US"/>
        </w:rPr>
        <w:t>umur</w:t>
      </w:r>
      <w:proofErr w:type="spellEnd"/>
      <w:r>
        <w:rPr>
          <w:sz w:val="20"/>
          <w:szCs w:val="20"/>
          <w:lang w:val="en-US"/>
        </w:rPr>
        <w:t xml:space="preserve"> </w:t>
      </w:r>
      <w:proofErr w:type="spellStart"/>
      <w:r>
        <w:rPr>
          <w:sz w:val="20"/>
          <w:szCs w:val="20"/>
          <w:lang w:val="en-US"/>
        </w:rPr>
        <w:t>pengamatan</w:t>
      </w:r>
      <w:proofErr w:type="spellEnd"/>
      <w:r w:rsidRPr="005277A3">
        <w:rPr>
          <w:sz w:val="20"/>
          <w:szCs w:val="20"/>
        </w:rPr>
        <w:t xml:space="preserve"> </w:t>
      </w:r>
      <w:r>
        <w:rPr>
          <w:sz w:val="20"/>
          <w:szCs w:val="20"/>
          <w:lang w:val="en-US"/>
        </w:rPr>
        <w:t xml:space="preserve">(12, 24, </w:t>
      </w:r>
      <w:proofErr w:type="spellStart"/>
      <w:r>
        <w:rPr>
          <w:sz w:val="20"/>
          <w:szCs w:val="20"/>
          <w:lang w:val="en-US"/>
        </w:rPr>
        <w:t>dan</w:t>
      </w:r>
      <w:proofErr w:type="spellEnd"/>
      <w:r>
        <w:rPr>
          <w:sz w:val="20"/>
          <w:szCs w:val="20"/>
          <w:lang w:val="en-US"/>
        </w:rPr>
        <w:t xml:space="preserve"> 36 </w:t>
      </w:r>
      <w:proofErr w:type="spellStart"/>
      <w:r>
        <w:rPr>
          <w:sz w:val="20"/>
          <w:szCs w:val="20"/>
          <w:lang w:val="en-US"/>
        </w:rPr>
        <w:t>hst</w:t>
      </w:r>
      <w:proofErr w:type="spellEnd"/>
      <w:r>
        <w:rPr>
          <w:sz w:val="20"/>
          <w:szCs w:val="20"/>
          <w:lang w:val="en-US"/>
        </w:rPr>
        <w:t xml:space="preserve">) </w:t>
      </w:r>
      <w:r w:rsidRPr="005277A3">
        <w:rPr>
          <w:sz w:val="20"/>
          <w:szCs w:val="20"/>
        </w:rPr>
        <w:t xml:space="preserve">(lampiran </w:t>
      </w:r>
      <w:r>
        <w:rPr>
          <w:sz w:val="20"/>
          <w:szCs w:val="20"/>
          <w:lang w:val="en-US"/>
        </w:rPr>
        <w:t>3</w:t>
      </w:r>
      <w:r w:rsidRPr="005277A3">
        <w:rPr>
          <w:sz w:val="20"/>
          <w:szCs w:val="20"/>
        </w:rPr>
        <w:t xml:space="preserve">). Data hasil analisis dapat dilihat pada tabel </w:t>
      </w:r>
      <w:r>
        <w:rPr>
          <w:sz w:val="20"/>
          <w:szCs w:val="20"/>
          <w:lang w:val="en-US"/>
        </w:rPr>
        <w:t>3</w:t>
      </w:r>
      <w:r w:rsidRPr="005277A3">
        <w:rPr>
          <w:sz w:val="20"/>
          <w:szCs w:val="20"/>
        </w:rPr>
        <w:t>.</w:t>
      </w:r>
    </w:p>
    <w:bookmarkEnd w:id="4"/>
    <w:p w:rsidR="0016149B" w:rsidRPr="005277A3" w:rsidRDefault="0016149B" w:rsidP="001A46A1">
      <w:pPr>
        <w:ind w:firstLine="720"/>
        <w:jc w:val="both"/>
        <w:rPr>
          <w:sz w:val="20"/>
          <w:szCs w:val="20"/>
        </w:rPr>
      </w:pPr>
      <w:r w:rsidRPr="005277A3">
        <w:rPr>
          <w:sz w:val="20"/>
          <w:szCs w:val="20"/>
        </w:rPr>
        <w:t xml:space="preserve">Tabel 3. Rata-rata jumlah </w:t>
      </w:r>
      <w:r w:rsidR="00193AE1" w:rsidRPr="005277A3">
        <w:rPr>
          <w:sz w:val="20"/>
          <w:szCs w:val="20"/>
        </w:rPr>
        <w:t xml:space="preserve">daun sawi pakcoy </w:t>
      </w:r>
      <w:r w:rsidRPr="005277A3">
        <w:rPr>
          <w:sz w:val="20"/>
          <w:szCs w:val="20"/>
        </w:rPr>
        <w:t>(</w:t>
      </w:r>
      <w:r w:rsidRPr="005277A3">
        <w:rPr>
          <w:i/>
          <w:iCs/>
          <w:sz w:val="20"/>
          <w:szCs w:val="20"/>
        </w:rPr>
        <w:t xml:space="preserve">Brassica rapa </w:t>
      </w:r>
      <w:r w:rsidRPr="005277A3">
        <w:rPr>
          <w:sz w:val="20"/>
          <w:szCs w:val="20"/>
        </w:rPr>
        <w:t>L.) terhadap kondisi cekaman salinitas</w:t>
      </w:r>
    </w:p>
    <w:tbl>
      <w:tblPr>
        <w:tblW w:w="6480" w:type="dxa"/>
        <w:jc w:val="center"/>
        <w:tblLook w:val="04A0" w:firstRow="1" w:lastRow="0" w:firstColumn="1" w:lastColumn="0" w:noHBand="0" w:noVBand="1"/>
      </w:tblPr>
      <w:tblGrid>
        <w:gridCol w:w="1620"/>
        <w:gridCol w:w="1620"/>
        <w:gridCol w:w="1620"/>
        <w:gridCol w:w="1620"/>
      </w:tblGrid>
      <w:tr w:rsidR="0016149B" w:rsidRPr="005277A3" w:rsidTr="00A80FA1">
        <w:trPr>
          <w:trHeight w:val="23"/>
          <w:jc w:val="center"/>
        </w:trPr>
        <w:tc>
          <w:tcPr>
            <w:tcW w:w="1620" w:type="dxa"/>
            <w:vMerge w:val="restart"/>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Perlakuan</w:t>
            </w:r>
          </w:p>
        </w:tc>
        <w:tc>
          <w:tcPr>
            <w:tcW w:w="4860" w:type="dxa"/>
            <w:gridSpan w:val="3"/>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PENGAMATAN</w:t>
            </w:r>
          </w:p>
        </w:tc>
      </w:tr>
      <w:tr w:rsidR="0016149B" w:rsidRPr="005277A3" w:rsidTr="00A80FA1">
        <w:trPr>
          <w:trHeight w:val="23"/>
          <w:jc w:val="center"/>
        </w:trPr>
        <w:tc>
          <w:tcPr>
            <w:tcW w:w="1620" w:type="dxa"/>
            <w:vMerge/>
            <w:tcBorders>
              <w:bottom w:val="single" w:sz="4" w:space="0" w:color="auto"/>
            </w:tcBorders>
            <w:vAlign w:val="center"/>
            <w:hideMark/>
          </w:tcPr>
          <w:p w:rsidR="0016149B" w:rsidRPr="005277A3" w:rsidRDefault="0016149B" w:rsidP="00A80FA1">
            <w:pPr>
              <w:jc w:val="center"/>
              <w:rPr>
                <w:sz w:val="20"/>
                <w:szCs w:val="20"/>
              </w:rPr>
            </w:pP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12 HST</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24 HST</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36 HST</w:t>
            </w:r>
          </w:p>
        </w:tc>
      </w:tr>
      <w:tr w:rsidR="0016149B" w:rsidRPr="005277A3" w:rsidTr="00A80FA1">
        <w:trPr>
          <w:trHeight w:val="23"/>
          <w:jc w:val="center"/>
        </w:trPr>
        <w:tc>
          <w:tcPr>
            <w:tcW w:w="1620" w:type="dxa"/>
            <w:tcBorders>
              <w:top w:val="single" w:sz="4" w:space="0" w:color="auto"/>
            </w:tcBorders>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S0</w:t>
            </w:r>
          </w:p>
        </w:tc>
        <w:tc>
          <w:tcPr>
            <w:tcW w:w="1620"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6.67</w:t>
            </w:r>
          </w:p>
        </w:tc>
        <w:tc>
          <w:tcPr>
            <w:tcW w:w="1620"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10.00</w:t>
            </w:r>
          </w:p>
        </w:tc>
        <w:tc>
          <w:tcPr>
            <w:tcW w:w="1620"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15.33</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S1</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6.67</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9.67</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15.00</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S2</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6.67</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10.00</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15.00</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S3</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7.33</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10.33</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15.67</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S4</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7.00</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9.33</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16.33</w:t>
            </w:r>
          </w:p>
        </w:tc>
      </w:tr>
      <w:tr w:rsidR="0016149B" w:rsidRPr="005277A3" w:rsidTr="00A80FA1">
        <w:trPr>
          <w:trHeight w:val="23"/>
          <w:jc w:val="center"/>
        </w:trPr>
        <w:tc>
          <w:tcPr>
            <w:tcW w:w="1620" w:type="dxa"/>
            <w:tcBorders>
              <w:bottom w:val="single" w:sz="4" w:space="0" w:color="auto"/>
            </w:tcBorders>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S5</w:t>
            </w:r>
          </w:p>
        </w:tc>
        <w:tc>
          <w:tcPr>
            <w:tcW w:w="1620"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6.67</w:t>
            </w:r>
          </w:p>
        </w:tc>
        <w:tc>
          <w:tcPr>
            <w:tcW w:w="1620"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9.67</w:t>
            </w:r>
          </w:p>
        </w:tc>
        <w:tc>
          <w:tcPr>
            <w:tcW w:w="1620"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13.67</w:t>
            </w:r>
          </w:p>
        </w:tc>
      </w:tr>
      <w:tr w:rsidR="0016149B" w:rsidRPr="005277A3" w:rsidTr="00A80FA1">
        <w:trPr>
          <w:trHeight w:val="23"/>
          <w:jc w:val="center"/>
        </w:trPr>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BNJ 5%</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TN</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TN</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TN</w:t>
            </w:r>
          </w:p>
        </w:tc>
      </w:tr>
    </w:tbl>
    <w:p w:rsidR="0016149B" w:rsidRPr="005277A3" w:rsidRDefault="0016149B" w:rsidP="0016149B">
      <w:pPr>
        <w:jc w:val="both"/>
        <w:rPr>
          <w:sz w:val="20"/>
          <w:szCs w:val="20"/>
        </w:rPr>
      </w:pPr>
      <w:r w:rsidRPr="005277A3">
        <w:rPr>
          <w:sz w:val="20"/>
          <w:szCs w:val="20"/>
        </w:rPr>
        <w:t>Keterangan: tidak berbeda nyata (TN)</w:t>
      </w:r>
    </w:p>
    <w:p w:rsidR="0016149B" w:rsidRPr="005277A3" w:rsidRDefault="0016149B" w:rsidP="001A5C68">
      <w:pPr>
        <w:ind w:firstLine="426"/>
        <w:jc w:val="both"/>
        <w:rPr>
          <w:sz w:val="20"/>
          <w:szCs w:val="20"/>
        </w:rPr>
      </w:pPr>
      <w:bookmarkStart w:id="5" w:name="_Hlk64389600"/>
      <w:r w:rsidRPr="005277A3">
        <w:rPr>
          <w:sz w:val="20"/>
          <w:szCs w:val="20"/>
        </w:rPr>
        <w:t xml:space="preserve">Dari hasil uji anova seperti yang ada pada tabel diatas menunjukkan bahwa tidak adanya </w:t>
      </w:r>
      <w:proofErr w:type="spellStart"/>
      <w:r w:rsidR="00581C10">
        <w:rPr>
          <w:sz w:val="20"/>
          <w:szCs w:val="20"/>
          <w:lang w:val="en-US"/>
        </w:rPr>
        <w:t>respon</w:t>
      </w:r>
      <w:proofErr w:type="spellEnd"/>
      <w:r w:rsidRPr="005277A3">
        <w:rPr>
          <w:sz w:val="20"/>
          <w:szCs w:val="20"/>
        </w:rPr>
        <w:t xml:space="preserve"> pada perlakuan pemberian cekaman salinitas. Dapat diketahui dari tabel tersebut bahwa pada pengamatan pertama hasil rerata tinggi tanaman terbaik pengamatan pertama (12 HST) ialah perlakuan S3 (salinitas 2000 ppm) dengan angka rata-rata 7,33 helai, pengamatan kedua (24 HST) perlakuan S3(salinitas 2000 ppm) dengan angka rata-rata 10,33 helai, dan pengamatan ketiga (36 HST) perlakuan S4(salinitas 2500 ppm) dengan angka rata-rata 16,33 helai. Hal tersebut membuktikan bahwa tanaman pakcoy toleran terhadap salinitas tinggi serta mampu tumbuh dengan baik terutama pada pertumbuhan jumlah daun hingga salinitas 3000 ppm. </w:t>
      </w:r>
      <w:bookmarkEnd w:id="5"/>
    </w:p>
    <w:p w:rsidR="0016149B" w:rsidRPr="005277A3" w:rsidRDefault="0016149B" w:rsidP="001A5C68">
      <w:pPr>
        <w:ind w:firstLine="426"/>
        <w:jc w:val="both"/>
        <w:rPr>
          <w:sz w:val="20"/>
          <w:szCs w:val="20"/>
        </w:rPr>
      </w:pPr>
      <w:bookmarkStart w:id="6" w:name="_Hlk64389632"/>
      <w:r w:rsidRPr="005277A3">
        <w:rPr>
          <w:sz w:val="20"/>
          <w:szCs w:val="20"/>
        </w:rPr>
        <w:t xml:space="preserve">Pada penelitian yang dilakukan oleh </w:t>
      </w:r>
      <w:r>
        <w:rPr>
          <w:sz w:val="20"/>
          <w:szCs w:val="20"/>
        </w:rPr>
        <w:t>[2]</w:t>
      </w:r>
      <w:r w:rsidRPr="005277A3">
        <w:rPr>
          <w:sz w:val="20"/>
          <w:szCs w:val="20"/>
        </w:rPr>
        <w:t xml:space="preserve"> seluruh parameter penelitian baru menunjukkan hasil berbeda nyata pada pemberian salinitas garam NaCl sebanyak 10.000 ppm. Keadaan dengan konsentrasi garam NaCl yang terlalu tinggi menyebabkan penghambatan pembelahan sel yang menyebabkan tanaman mengalami penurunan senyawa glukosinolat, sejalan dengan penelitian </w:t>
      </w:r>
      <w:r>
        <w:rPr>
          <w:sz w:val="20"/>
          <w:szCs w:val="20"/>
        </w:rPr>
        <w:t>[3]</w:t>
      </w:r>
      <w:r w:rsidRPr="005277A3">
        <w:rPr>
          <w:sz w:val="20"/>
          <w:szCs w:val="20"/>
        </w:rPr>
        <w:t xml:space="preserve"> yang memberikan perlakuan garam Nacl sebesar 90 mM atau 5.265 ppm peda tanaman brokoli </w:t>
      </w:r>
      <w:r w:rsidRPr="005277A3">
        <w:rPr>
          <w:i/>
          <w:sz w:val="20"/>
          <w:szCs w:val="20"/>
        </w:rPr>
        <w:t>(Bassica Oleracea)</w:t>
      </w:r>
      <w:r w:rsidRPr="005277A3">
        <w:rPr>
          <w:sz w:val="20"/>
          <w:szCs w:val="20"/>
        </w:rPr>
        <w:t xml:space="preserve">. Glukosinolat ialah senyawa metabolit skunder yang hanya dimiliki tanaman Brassicaceae. </w:t>
      </w:r>
    </w:p>
    <w:p w:rsidR="0016149B" w:rsidRPr="005277A3" w:rsidRDefault="0016149B" w:rsidP="001A5C68">
      <w:pPr>
        <w:ind w:firstLine="426"/>
        <w:jc w:val="both"/>
        <w:rPr>
          <w:sz w:val="20"/>
          <w:szCs w:val="20"/>
        </w:rPr>
      </w:pPr>
      <w:r w:rsidRPr="005277A3">
        <w:rPr>
          <w:sz w:val="20"/>
          <w:szCs w:val="20"/>
        </w:rPr>
        <w:t>Penghambatan pembelahan sel juga mempengaruhi fungsi hormon alami yang dimiliki tanaman. Beberapa penelitian yang dirujuk meyebutkan bahwa hormon auksin yang berperan dalam pembelahan serta pembesaran sel menjadi terganggu fungsinya. Hal tersebut juga menyebabkan kurang maksimalnya pertumbuhan akar yang menyebakna tanaman menjadi kurang aktif dalam rangka penyerapan nutrisi untuk proses fotosintesis, sehingga tanaman mengalami defisiensi karbohidrat sebagai sumber energi utama prtumbuhan.</w:t>
      </w:r>
    </w:p>
    <w:p w:rsidR="009C4800" w:rsidRDefault="009C4800" w:rsidP="001A5C68">
      <w:pPr>
        <w:ind w:firstLine="426"/>
        <w:jc w:val="both"/>
        <w:rPr>
          <w:sz w:val="20"/>
          <w:szCs w:val="20"/>
        </w:rPr>
      </w:pPr>
      <w:bookmarkStart w:id="7" w:name="_Hlk64390095"/>
      <w:bookmarkEnd w:id="6"/>
      <w:r w:rsidRPr="005277A3">
        <w:rPr>
          <w:color w:val="000000" w:themeColor="text1"/>
          <w:sz w:val="20"/>
          <w:szCs w:val="20"/>
        </w:rPr>
        <w:t xml:space="preserve">Hasil analisis ragam </w:t>
      </w:r>
      <w:r w:rsidRPr="005277A3">
        <w:rPr>
          <w:sz w:val="20"/>
          <w:szCs w:val="20"/>
        </w:rPr>
        <w:t>menunjukkan bahwa</w:t>
      </w:r>
      <w:r>
        <w:rPr>
          <w:sz w:val="20"/>
          <w:szCs w:val="20"/>
          <w:lang w:val="en-US"/>
        </w:rPr>
        <w:t xml:space="preserve"> </w:t>
      </w:r>
      <w:proofErr w:type="spellStart"/>
      <w:r>
        <w:rPr>
          <w:sz w:val="20"/>
          <w:szCs w:val="20"/>
          <w:lang w:val="en-US"/>
        </w:rPr>
        <w:t>perlakuan</w:t>
      </w:r>
      <w:proofErr w:type="spellEnd"/>
      <w:r>
        <w:rPr>
          <w:sz w:val="20"/>
          <w:szCs w:val="20"/>
          <w:lang w:val="en-US"/>
        </w:rPr>
        <w:t xml:space="preserve"> </w:t>
      </w:r>
      <w:proofErr w:type="spellStart"/>
      <w:r>
        <w:rPr>
          <w:sz w:val="20"/>
          <w:szCs w:val="20"/>
          <w:lang w:val="en-US"/>
        </w:rPr>
        <w:t>pemberian</w:t>
      </w:r>
      <w:proofErr w:type="spellEnd"/>
      <w:r>
        <w:rPr>
          <w:sz w:val="20"/>
          <w:szCs w:val="20"/>
          <w:lang w:val="en-US"/>
        </w:rPr>
        <w:t xml:space="preserve"> </w:t>
      </w:r>
      <w:proofErr w:type="spellStart"/>
      <w:r>
        <w:rPr>
          <w:sz w:val="20"/>
          <w:szCs w:val="20"/>
          <w:lang w:val="en-US"/>
        </w:rPr>
        <w:t>cekaman</w:t>
      </w:r>
      <w:proofErr w:type="spellEnd"/>
      <w:r>
        <w:rPr>
          <w:sz w:val="20"/>
          <w:szCs w:val="20"/>
          <w:lang w:val="en-US"/>
        </w:rPr>
        <w:t xml:space="preserve"> </w:t>
      </w:r>
      <w:proofErr w:type="spellStart"/>
      <w:r>
        <w:rPr>
          <w:sz w:val="20"/>
          <w:szCs w:val="20"/>
          <w:lang w:val="en-US"/>
        </w:rPr>
        <w:t>salinitas</w:t>
      </w:r>
      <w:proofErr w:type="spellEnd"/>
      <w:r>
        <w:rPr>
          <w:sz w:val="20"/>
          <w:szCs w:val="20"/>
          <w:lang w:val="en-US"/>
        </w:rPr>
        <w:t xml:space="preserve"> </w:t>
      </w:r>
      <w:proofErr w:type="spellStart"/>
      <w:r>
        <w:rPr>
          <w:sz w:val="20"/>
          <w:szCs w:val="20"/>
          <w:lang w:val="en-US"/>
        </w:rPr>
        <w:t>tidak</w:t>
      </w:r>
      <w:proofErr w:type="spellEnd"/>
      <w:r>
        <w:rPr>
          <w:sz w:val="20"/>
          <w:szCs w:val="20"/>
          <w:lang w:val="en-US"/>
        </w:rPr>
        <w:t xml:space="preserve"> </w:t>
      </w:r>
      <w:proofErr w:type="spellStart"/>
      <w:r>
        <w:rPr>
          <w:sz w:val="20"/>
          <w:szCs w:val="20"/>
          <w:lang w:val="en-US"/>
        </w:rPr>
        <w:t>memberikan</w:t>
      </w:r>
      <w:proofErr w:type="spellEnd"/>
      <w:r>
        <w:rPr>
          <w:sz w:val="20"/>
          <w:szCs w:val="20"/>
          <w:lang w:val="en-US"/>
        </w:rPr>
        <w:t xml:space="preserve"> </w:t>
      </w:r>
      <w:proofErr w:type="spellStart"/>
      <w:r>
        <w:rPr>
          <w:sz w:val="20"/>
          <w:szCs w:val="20"/>
          <w:lang w:val="en-US"/>
        </w:rPr>
        <w:t>respon</w:t>
      </w:r>
      <w:proofErr w:type="spellEnd"/>
      <w:r>
        <w:rPr>
          <w:sz w:val="20"/>
          <w:szCs w:val="20"/>
          <w:lang w:val="en-US"/>
        </w:rPr>
        <w:t xml:space="preserve"> yang </w:t>
      </w:r>
      <w:proofErr w:type="spellStart"/>
      <w:r>
        <w:rPr>
          <w:sz w:val="20"/>
          <w:szCs w:val="20"/>
          <w:lang w:val="en-US"/>
        </w:rPr>
        <w:t>nyata</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variable </w:t>
      </w:r>
      <w:proofErr w:type="spellStart"/>
      <w:r>
        <w:rPr>
          <w:sz w:val="20"/>
          <w:szCs w:val="20"/>
          <w:lang w:val="en-US"/>
        </w:rPr>
        <w:t>pengamatan</w:t>
      </w:r>
      <w:proofErr w:type="spellEnd"/>
      <w:r>
        <w:rPr>
          <w:sz w:val="20"/>
          <w:szCs w:val="20"/>
          <w:lang w:val="en-US"/>
        </w:rPr>
        <w:t xml:space="preserve"> </w:t>
      </w:r>
      <w:proofErr w:type="spellStart"/>
      <w:r>
        <w:rPr>
          <w:sz w:val="20"/>
          <w:szCs w:val="20"/>
          <w:lang w:val="en-US"/>
        </w:rPr>
        <w:t>luas</w:t>
      </w:r>
      <w:proofErr w:type="spellEnd"/>
      <w:r>
        <w:rPr>
          <w:sz w:val="20"/>
          <w:szCs w:val="20"/>
          <w:lang w:val="en-US"/>
        </w:rPr>
        <w:t xml:space="preserve"> </w:t>
      </w:r>
      <w:proofErr w:type="spellStart"/>
      <w:r>
        <w:rPr>
          <w:sz w:val="20"/>
          <w:szCs w:val="20"/>
          <w:lang w:val="en-US"/>
        </w:rPr>
        <w:t>daun</w:t>
      </w:r>
      <w:proofErr w:type="spellEnd"/>
      <w:r>
        <w:rPr>
          <w:sz w:val="20"/>
          <w:szCs w:val="20"/>
          <w:lang w:val="en-US"/>
        </w:rPr>
        <w:t xml:space="preserve"> </w:t>
      </w:r>
      <w:proofErr w:type="spellStart"/>
      <w:r>
        <w:rPr>
          <w:sz w:val="20"/>
          <w:szCs w:val="20"/>
          <w:lang w:val="en-US"/>
        </w:rPr>
        <w:t>pada</w:t>
      </w:r>
      <w:proofErr w:type="spellEnd"/>
      <w:r>
        <w:rPr>
          <w:sz w:val="20"/>
          <w:szCs w:val="20"/>
          <w:lang w:val="en-US"/>
        </w:rPr>
        <w:t xml:space="preserve"> </w:t>
      </w:r>
      <w:proofErr w:type="spellStart"/>
      <w:r>
        <w:rPr>
          <w:sz w:val="20"/>
          <w:szCs w:val="20"/>
          <w:lang w:val="en-US"/>
        </w:rPr>
        <w:t>semua</w:t>
      </w:r>
      <w:proofErr w:type="spellEnd"/>
      <w:r>
        <w:rPr>
          <w:sz w:val="20"/>
          <w:szCs w:val="20"/>
          <w:lang w:val="en-US"/>
        </w:rPr>
        <w:t xml:space="preserve"> </w:t>
      </w:r>
      <w:proofErr w:type="spellStart"/>
      <w:r>
        <w:rPr>
          <w:sz w:val="20"/>
          <w:szCs w:val="20"/>
          <w:lang w:val="en-US"/>
        </w:rPr>
        <w:t>umur</w:t>
      </w:r>
      <w:proofErr w:type="spellEnd"/>
      <w:r>
        <w:rPr>
          <w:sz w:val="20"/>
          <w:szCs w:val="20"/>
          <w:lang w:val="en-US"/>
        </w:rPr>
        <w:t xml:space="preserve"> </w:t>
      </w:r>
      <w:proofErr w:type="spellStart"/>
      <w:r>
        <w:rPr>
          <w:sz w:val="20"/>
          <w:szCs w:val="20"/>
          <w:lang w:val="en-US"/>
        </w:rPr>
        <w:t>pengamatan</w:t>
      </w:r>
      <w:proofErr w:type="spellEnd"/>
      <w:r w:rsidRPr="005277A3">
        <w:rPr>
          <w:sz w:val="20"/>
          <w:szCs w:val="20"/>
        </w:rPr>
        <w:t xml:space="preserve"> </w:t>
      </w:r>
      <w:r>
        <w:rPr>
          <w:sz w:val="20"/>
          <w:szCs w:val="20"/>
          <w:lang w:val="en-US"/>
        </w:rPr>
        <w:t xml:space="preserve">(12, 24, </w:t>
      </w:r>
      <w:proofErr w:type="spellStart"/>
      <w:r>
        <w:rPr>
          <w:sz w:val="20"/>
          <w:szCs w:val="20"/>
          <w:lang w:val="en-US"/>
        </w:rPr>
        <w:t>dan</w:t>
      </w:r>
      <w:proofErr w:type="spellEnd"/>
      <w:r>
        <w:rPr>
          <w:sz w:val="20"/>
          <w:szCs w:val="20"/>
          <w:lang w:val="en-US"/>
        </w:rPr>
        <w:t xml:space="preserve"> 36 </w:t>
      </w:r>
      <w:proofErr w:type="spellStart"/>
      <w:r>
        <w:rPr>
          <w:sz w:val="20"/>
          <w:szCs w:val="20"/>
          <w:lang w:val="en-US"/>
        </w:rPr>
        <w:t>hst</w:t>
      </w:r>
      <w:proofErr w:type="spellEnd"/>
      <w:r>
        <w:rPr>
          <w:sz w:val="20"/>
          <w:szCs w:val="20"/>
          <w:lang w:val="en-US"/>
        </w:rPr>
        <w:t xml:space="preserve">) </w:t>
      </w:r>
      <w:r w:rsidRPr="005277A3">
        <w:rPr>
          <w:sz w:val="20"/>
          <w:szCs w:val="20"/>
        </w:rPr>
        <w:t xml:space="preserve">(lampiran </w:t>
      </w:r>
      <w:r>
        <w:rPr>
          <w:sz w:val="20"/>
          <w:szCs w:val="20"/>
          <w:lang w:val="en-US"/>
        </w:rPr>
        <w:t>4</w:t>
      </w:r>
      <w:r w:rsidRPr="005277A3">
        <w:rPr>
          <w:sz w:val="20"/>
          <w:szCs w:val="20"/>
        </w:rPr>
        <w:t xml:space="preserve">). Data hasil analisis dapat dilihat pada tabel </w:t>
      </w:r>
      <w:r>
        <w:rPr>
          <w:sz w:val="20"/>
          <w:szCs w:val="20"/>
          <w:lang w:val="en-US"/>
        </w:rPr>
        <w:t>4</w:t>
      </w:r>
      <w:r w:rsidRPr="005277A3">
        <w:rPr>
          <w:sz w:val="20"/>
          <w:szCs w:val="20"/>
        </w:rPr>
        <w:t>.</w:t>
      </w:r>
    </w:p>
    <w:bookmarkEnd w:id="7"/>
    <w:p w:rsidR="0016149B" w:rsidRPr="005277A3" w:rsidRDefault="0016149B" w:rsidP="001A46A1">
      <w:pPr>
        <w:ind w:firstLine="360"/>
        <w:jc w:val="both"/>
        <w:rPr>
          <w:sz w:val="20"/>
          <w:szCs w:val="20"/>
        </w:rPr>
      </w:pPr>
      <w:r w:rsidRPr="005277A3">
        <w:rPr>
          <w:sz w:val="20"/>
          <w:szCs w:val="20"/>
        </w:rPr>
        <w:t xml:space="preserve">Tabel 4. Rata-rata luas daun </w:t>
      </w:r>
      <w:r w:rsidR="00193AE1" w:rsidRPr="005277A3">
        <w:rPr>
          <w:sz w:val="20"/>
          <w:szCs w:val="20"/>
        </w:rPr>
        <w:t xml:space="preserve">tanaman sawi pakcoy </w:t>
      </w:r>
      <w:r w:rsidRPr="005277A3">
        <w:rPr>
          <w:sz w:val="20"/>
          <w:szCs w:val="20"/>
        </w:rPr>
        <w:t>(</w:t>
      </w:r>
      <w:r w:rsidRPr="005277A3">
        <w:rPr>
          <w:i/>
          <w:iCs/>
          <w:sz w:val="20"/>
          <w:szCs w:val="20"/>
        </w:rPr>
        <w:t xml:space="preserve">Brassica rapa </w:t>
      </w:r>
      <w:r w:rsidRPr="005277A3">
        <w:rPr>
          <w:sz w:val="20"/>
          <w:szCs w:val="20"/>
        </w:rPr>
        <w:t>L.) terhadap kondisi cekaman salinitas</w:t>
      </w:r>
    </w:p>
    <w:tbl>
      <w:tblPr>
        <w:tblW w:w="6480" w:type="dxa"/>
        <w:jc w:val="center"/>
        <w:tblLook w:val="04A0" w:firstRow="1" w:lastRow="0" w:firstColumn="1" w:lastColumn="0" w:noHBand="0" w:noVBand="1"/>
      </w:tblPr>
      <w:tblGrid>
        <w:gridCol w:w="1620"/>
        <w:gridCol w:w="1620"/>
        <w:gridCol w:w="1620"/>
        <w:gridCol w:w="1620"/>
      </w:tblGrid>
      <w:tr w:rsidR="0016149B" w:rsidRPr="005277A3" w:rsidTr="00A80FA1">
        <w:trPr>
          <w:trHeight w:val="23"/>
          <w:jc w:val="center"/>
        </w:trPr>
        <w:tc>
          <w:tcPr>
            <w:tcW w:w="1620" w:type="dxa"/>
            <w:vMerge w:val="restart"/>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Perlakuan</w:t>
            </w:r>
          </w:p>
        </w:tc>
        <w:tc>
          <w:tcPr>
            <w:tcW w:w="4860" w:type="dxa"/>
            <w:gridSpan w:val="3"/>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PENGAMATAN</w:t>
            </w:r>
          </w:p>
        </w:tc>
      </w:tr>
      <w:tr w:rsidR="0016149B" w:rsidRPr="005277A3" w:rsidTr="00A80FA1">
        <w:trPr>
          <w:trHeight w:val="23"/>
          <w:jc w:val="center"/>
        </w:trPr>
        <w:tc>
          <w:tcPr>
            <w:tcW w:w="1620" w:type="dxa"/>
            <w:vMerge/>
            <w:tcBorders>
              <w:bottom w:val="single" w:sz="4" w:space="0" w:color="auto"/>
            </w:tcBorders>
            <w:vAlign w:val="center"/>
            <w:hideMark/>
          </w:tcPr>
          <w:p w:rsidR="0016149B" w:rsidRPr="005277A3" w:rsidRDefault="0016149B" w:rsidP="00A80FA1">
            <w:pPr>
              <w:jc w:val="center"/>
              <w:rPr>
                <w:sz w:val="20"/>
                <w:szCs w:val="20"/>
              </w:rPr>
            </w:pP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12 HST</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24 HST</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36 HST</w:t>
            </w:r>
          </w:p>
        </w:tc>
      </w:tr>
      <w:tr w:rsidR="0016149B" w:rsidRPr="005277A3" w:rsidTr="00A80FA1">
        <w:trPr>
          <w:trHeight w:val="23"/>
          <w:jc w:val="center"/>
        </w:trPr>
        <w:tc>
          <w:tcPr>
            <w:tcW w:w="1620" w:type="dxa"/>
            <w:tcBorders>
              <w:top w:val="single" w:sz="4" w:space="0" w:color="auto"/>
            </w:tcBorders>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S0</w:t>
            </w:r>
          </w:p>
        </w:tc>
        <w:tc>
          <w:tcPr>
            <w:tcW w:w="1620"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1000.00</w:t>
            </w:r>
          </w:p>
        </w:tc>
        <w:tc>
          <w:tcPr>
            <w:tcW w:w="1620"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2605.33</w:t>
            </w:r>
          </w:p>
        </w:tc>
        <w:tc>
          <w:tcPr>
            <w:tcW w:w="1620"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2859.00</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S1</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1325.33</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2766.67</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3270.67</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S2</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1130.67</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2768.67</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3078.67</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S3</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1087.33</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2475.00</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2991.00</w:t>
            </w:r>
          </w:p>
        </w:tc>
      </w:tr>
      <w:tr w:rsidR="0016149B" w:rsidRPr="005277A3" w:rsidTr="00A80FA1">
        <w:trPr>
          <w:trHeight w:val="23"/>
          <w:jc w:val="center"/>
        </w:trPr>
        <w:tc>
          <w:tcPr>
            <w:tcW w:w="1620" w:type="dxa"/>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S4</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1049.67</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2834.33</w:t>
            </w:r>
          </w:p>
        </w:tc>
        <w:tc>
          <w:tcPr>
            <w:tcW w:w="1620" w:type="dxa"/>
            <w:shd w:val="clear" w:color="auto" w:fill="auto"/>
            <w:noWrap/>
            <w:vAlign w:val="center"/>
            <w:hideMark/>
          </w:tcPr>
          <w:p w:rsidR="0016149B" w:rsidRPr="005277A3" w:rsidRDefault="0016149B" w:rsidP="00A80FA1">
            <w:pPr>
              <w:jc w:val="center"/>
              <w:rPr>
                <w:sz w:val="20"/>
                <w:szCs w:val="20"/>
              </w:rPr>
            </w:pPr>
            <w:r w:rsidRPr="005277A3">
              <w:rPr>
                <w:sz w:val="20"/>
                <w:szCs w:val="20"/>
              </w:rPr>
              <w:t>2925.33</w:t>
            </w:r>
          </w:p>
        </w:tc>
      </w:tr>
      <w:tr w:rsidR="0016149B" w:rsidRPr="005277A3" w:rsidTr="00A80FA1">
        <w:trPr>
          <w:trHeight w:val="23"/>
          <w:jc w:val="center"/>
        </w:trPr>
        <w:tc>
          <w:tcPr>
            <w:tcW w:w="1620" w:type="dxa"/>
            <w:tcBorders>
              <w:bottom w:val="single" w:sz="4" w:space="0" w:color="auto"/>
            </w:tcBorders>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S5</w:t>
            </w:r>
          </w:p>
        </w:tc>
        <w:tc>
          <w:tcPr>
            <w:tcW w:w="1620"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1109.33</w:t>
            </w:r>
          </w:p>
        </w:tc>
        <w:tc>
          <w:tcPr>
            <w:tcW w:w="1620"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2473.67</w:t>
            </w:r>
          </w:p>
        </w:tc>
        <w:tc>
          <w:tcPr>
            <w:tcW w:w="1620"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2718.67</w:t>
            </w:r>
          </w:p>
        </w:tc>
      </w:tr>
      <w:tr w:rsidR="0016149B" w:rsidRPr="005277A3" w:rsidTr="00A80FA1">
        <w:trPr>
          <w:trHeight w:val="23"/>
          <w:jc w:val="center"/>
        </w:trPr>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b/>
                <w:bCs/>
                <w:sz w:val="20"/>
                <w:szCs w:val="20"/>
              </w:rPr>
            </w:pPr>
            <w:r w:rsidRPr="005277A3">
              <w:rPr>
                <w:b/>
                <w:bCs/>
                <w:sz w:val="20"/>
                <w:szCs w:val="20"/>
              </w:rPr>
              <w:t>BNJ 5%</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TN</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TN</w:t>
            </w:r>
          </w:p>
        </w:tc>
        <w:tc>
          <w:tcPr>
            <w:tcW w:w="1620" w:type="dxa"/>
            <w:tcBorders>
              <w:top w:val="single" w:sz="4" w:space="0" w:color="auto"/>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TN</w:t>
            </w:r>
          </w:p>
        </w:tc>
      </w:tr>
    </w:tbl>
    <w:p w:rsidR="0016149B" w:rsidRPr="005277A3" w:rsidRDefault="0016149B" w:rsidP="0016149B">
      <w:pPr>
        <w:jc w:val="both"/>
        <w:rPr>
          <w:sz w:val="20"/>
          <w:szCs w:val="20"/>
        </w:rPr>
      </w:pPr>
      <w:r w:rsidRPr="005277A3">
        <w:rPr>
          <w:sz w:val="20"/>
          <w:szCs w:val="20"/>
        </w:rPr>
        <w:t>Keterangan: tidak berbeda nyata (TN)</w:t>
      </w:r>
    </w:p>
    <w:p w:rsidR="0016149B" w:rsidRDefault="0016149B" w:rsidP="001A46A1">
      <w:pPr>
        <w:ind w:firstLine="426"/>
        <w:jc w:val="both"/>
        <w:rPr>
          <w:sz w:val="20"/>
          <w:szCs w:val="20"/>
        </w:rPr>
      </w:pPr>
      <w:bookmarkStart w:id="8" w:name="_Hlk64389988"/>
      <w:r w:rsidRPr="005277A3">
        <w:rPr>
          <w:sz w:val="20"/>
          <w:szCs w:val="20"/>
        </w:rPr>
        <w:t xml:space="preserve">Dari hasil uji anova seperti yang ada pada tabel diatas menunjukkan bahwa tidak adanya </w:t>
      </w:r>
      <w:proofErr w:type="spellStart"/>
      <w:r w:rsidR="00581C10">
        <w:rPr>
          <w:sz w:val="20"/>
          <w:szCs w:val="20"/>
          <w:lang w:val="en-US"/>
        </w:rPr>
        <w:t>respon</w:t>
      </w:r>
      <w:proofErr w:type="spellEnd"/>
      <w:r w:rsidRPr="005277A3">
        <w:rPr>
          <w:sz w:val="20"/>
          <w:szCs w:val="20"/>
        </w:rPr>
        <w:t xml:space="preserve"> pada perlakuan pemberian cekaman salinitas. Dapat diketahui dari tabel tersebut bahwa pada pengamatan pertama hasil rerata tinggi tanaman terbaik pengamatan pertama(12 HST) ialah perlakuan S1 (salinitas 1000 ppm) dengan angka rata-rata </w:t>
      </w:r>
      <w:r w:rsidRPr="005277A3">
        <w:rPr>
          <w:sz w:val="20"/>
          <w:szCs w:val="20"/>
        </w:rPr>
        <w:lastRenderedPageBreak/>
        <w:t xml:space="preserve">1325,33 mm, pengamatan kedua (24 HST) adalah perlakuan S4 (salinitas 2500 ppm) dengan angka rata-rata 2834,33 mm dan ketiga (36 HST) ialah perlakuan S1(salinitas 1000 ppm) dengan angka rata-rata 3270,67 mm. Hal tersebut membuktikan bahwa tanaman pakcoy toleran terhadap salinitas tinggi serta mampu tumbuh dengan baik terutama pada pertumbuhan luas daun hingga salinitas 3000 ppm. </w:t>
      </w:r>
    </w:p>
    <w:p w:rsidR="009C4800" w:rsidRDefault="009C4800" w:rsidP="001A46A1">
      <w:pPr>
        <w:ind w:firstLine="426"/>
        <w:jc w:val="both"/>
        <w:rPr>
          <w:sz w:val="20"/>
          <w:szCs w:val="20"/>
        </w:rPr>
      </w:pPr>
      <w:bookmarkStart w:id="9" w:name="_Hlk64390084"/>
      <w:bookmarkEnd w:id="8"/>
      <w:r w:rsidRPr="005277A3">
        <w:rPr>
          <w:color w:val="000000" w:themeColor="text1"/>
          <w:sz w:val="20"/>
          <w:szCs w:val="20"/>
        </w:rPr>
        <w:t xml:space="preserve">Hasil analisis ragam </w:t>
      </w:r>
      <w:r w:rsidRPr="005277A3">
        <w:rPr>
          <w:sz w:val="20"/>
          <w:szCs w:val="20"/>
        </w:rPr>
        <w:t>menunjukkan bahwa</w:t>
      </w:r>
      <w:r>
        <w:rPr>
          <w:sz w:val="20"/>
          <w:szCs w:val="20"/>
          <w:lang w:val="en-US"/>
        </w:rPr>
        <w:t xml:space="preserve"> </w:t>
      </w:r>
      <w:proofErr w:type="spellStart"/>
      <w:r>
        <w:rPr>
          <w:sz w:val="20"/>
          <w:szCs w:val="20"/>
          <w:lang w:val="en-US"/>
        </w:rPr>
        <w:t>perlakuan</w:t>
      </w:r>
      <w:proofErr w:type="spellEnd"/>
      <w:r>
        <w:rPr>
          <w:sz w:val="20"/>
          <w:szCs w:val="20"/>
          <w:lang w:val="en-US"/>
        </w:rPr>
        <w:t xml:space="preserve"> </w:t>
      </w:r>
      <w:proofErr w:type="spellStart"/>
      <w:r>
        <w:rPr>
          <w:sz w:val="20"/>
          <w:szCs w:val="20"/>
          <w:lang w:val="en-US"/>
        </w:rPr>
        <w:t>pemberian</w:t>
      </w:r>
      <w:proofErr w:type="spellEnd"/>
      <w:r>
        <w:rPr>
          <w:sz w:val="20"/>
          <w:szCs w:val="20"/>
          <w:lang w:val="en-US"/>
        </w:rPr>
        <w:t xml:space="preserve"> </w:t>
      </w:r>
      <w:proofErr w:type="spellStart"/>
      <w:r>
        <w:rPr>
          <w:sz w:val="20"/>
          <w:szCs w:val="20"/>
          <w:lang w:val="en-US"/>
        </w:rPr>
        <w:t>cekaman</w:t>
      </w:r>
      <w:proofErr w:type="spellEnd"/>
      <w:r>
        <w:rPr>
          <w:sz w:val="20"/>
          <w:szCs w:val="20"/>
          <w:lang w:val="en-US"/>
        </w:rPr>
        <w:t xml:space="preserve"> </w:t>
      </w:r>
      <w:proofErr w:type="spellStart"/>
      <w:r>
        <w:rPr>
          <w:sz w:val="20"/>
          <w:szCs w:val="20"/>
          <w:lang w:val="en-US"/>
        </w:rPr>
        <w:t>salinitas</w:t>
      </w:r>
      <w:proofErr w:type="spellEnd"/>
      <w:r>
        <w:rPr>
          <w:sz w:val="20"/>
          <w:szCs w:val="20"/>
          <w:lang w:val="en-US"/>
        </w:rPr>
        <w:t xml:space="preserve"> </w:t>
      </w:r>
      <w:proofErr w:type="spellStart"/>
      <w:r>
        <w:rPr>
          <w:sz w:val="20"/>
          <w:szCs w:val="20"/>
          <w:lang w:val="en-US"/>
        </w:rPr>
        <w:t>tidak</w:t>
      </w:r>
      <w:proofErr w:type="spellEnd"/>
      <w:r>
        <w:rPr>
          <w:sz w:val="20"/>
          <w:szCs w:val="20"/>
          <w:lang w:val="en-US"/>
        </w:rPr>
        <w:t xml:space="preserve"> </w:t>
      </w:r>
      <w:proofErr w:type="spellStart"/>
      <w:r>
        <w:rPr>
          <w:sz w:val="20"/>
          <w:szCs w:val="20"/>
          <w:lang w:val="en-US"/>
        </w:rPr>
        <w:t>memberikan</w:t>
      </w:r>
      <w:proofErr w:type="spellEnd"/>
      <w:r>
        <w:rPr>
          <w:sz w:val="20"/>
          <w:szCs w:val="20"/>
          <w:lang w:val="en-US"/>
        </w:rPr>
        <w:t xml:space="preserve"> </w:t>
      </w:r>
      <w:proofErr w:type="spellStart"/>
      <w:r>
        <w:rPr>
          <w:sz w:val="20"/>
          <w:szCs w:val="20"/>
          <w:lang w:val="en-US"/>
        </w:rPr>
        <w:t>respon</w:t>
      </w:r>
      <w:proofErr w:type="spellEnd"/>
      <w:r>
        <w:rPr>
          <w:sz w:val="20"/>
          <w:szCs w:val="20"/>
          <w:lang w:val="en-US"/>
        </w:rPr>
        <w:t xml:space="preserve"> yang </w:t>
      </w:r>
      <w:proofErr w:type="spellStart"/>
      <w:r>
        <w:rPr>
          <w:sz w:val="20"/>
          <w:szCs w:val="20"/>
          <w:lang w:val="en-US"/>
        </w:rPr>
        <w:t>nyata</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variable </w:t>
      </w:r>
      <w:proofErr w:type="spellStart"/>
      <w:r>
        <w:rPr>
          <w:sz w:val="20"/>
          <w:szCs w:val="20"/>
          <w:lang w:val="en-US"/>
        </w:rPr>
        <w:t>pengamatan</w:t>
      </w:r>
      <w:proofErr w:type="spellEnd"/>
      <w:r>
        <w:rPr>
          <w:sz w:val="20"/>
          <w:szCs w:val="20"/>
          <w:lang w:val="en-US"/>
        </w:rPr>
        <w:t xml:space="preserve"> </w:t>
      </w:r>
      <w:proofErr w:type="spellStart"/>
      <w:r>
        <w:rPr>
          <w:sz w:val="20"/>
          <w:szCs w:val="20"/>
          <w:lang w:val="en-US"/>
        </w:rPr>
        <w:t>berat</w:t>
      </w:r>
      <w:proofErr w:type="spellEnd"/>
      <w:r>
        <w:rPr>
          <w:sz w:val="20"/>
          <w:szCs w:val="20"/>
          <w:lang w:val="en-US"/>
        </w:rPr>
        <w:t xml:space="preserve"> </w:t>
      </w:r>
      <w:proofErr w:type="spellStart"/>
      <w:r>
        <w:rPr>
          <w:sz w:val="20"/>
          <w:szCs w:val="20"/>
          <w:lang w:val="en-US"/>
        </w:rPr>
        <w:t>basah</w:t>
      </w:r>
      <w:proofErr w:type="spellEnd"/>
      <w:r>
        <w:rPr>
          <w:sz w:val="20"/>
          <w:szCs w:val="20"/>
          <w:lang w:val="en-US"/>
        </w:rPr>
        <w:t xml:space="preserve"> </w:t>
      </w:r>
      <w:proofErr w:type="spellStart"/>
      <w:r>
        <w:rPr>
          <w:sz w:val="20"/>
          <w:szCs w:val="20"/>
          <w:lang w:val="en-US"/>
        </w:rPr>
        <w:t>sayur</w:t>
      </w:r>
      <w:proofErr w:type="spellEnd"/>
      <w:r>
        <w:rPr>
          <w:sz w:val="20"/>
          <w:szCs w:val="20"/>
          <w:lang w:val="en-US"/>
        </w:rPr>
        <w:t xml:space="preserve"> </w:t>
      </w:r>
      <w:proofErr w:type="spellStart"/>
      <w:r>
        <w:rPr>
          <w:sz w:val="20"/>
          <w:szCs w:val="20"/>
          <w:lang w:val="en-US"/>
        </w:rPr>
        <w:t>pada</w:t>
      </w:r>
      <w:proofErr w:type="spellEnd"/>
      <w:r>
        <w:rPr>
          <w:sz w:val="20"/>
          <w:szCs w:val="20"/>
          <w:lang w:val="en-US"/>
        </w:rPr>
        <w:t xml:space="preserve"> </w:t>
      </w:r>
      <w:proofErr w:type="spellStart"/>
      <w:r>
        <w:rPr>
          <w:sz w:val="20"/>
          <w:szCs w:val="20"/>
          <w:lang w:val="en-US"/>
        </w:rPr>
        <w:t>semua</w:t>
      </w:r>
      <w:proofErr w:type="spellEnd"/>
      <w:r>
        <w:rPr>
          <w:sz w:val="20"/>
          <w:szCs w:val="20"/>
          <w:lang w:val="en-US"/>
        </w:rPr>
        <w:t xml:space="preserve"> </w:t>
      </w:r>
      <w:proofErr w:type="spellStart"/>
      <w:r>
        <w:rPr>
          <w:sz w:val="20"/>
          <w:szCs w:val="20"/>
          <w:lang w:val="en-US"/>
        </w:rPr>
        <w:t>umur</w:t>
      </w:r>
      <w:proofErr w:type="spellEnd"/>
      <w:r>
        <w:rPr>
          <w:sz w:val="20"/>
          <w:szCs w:val="20"/>
          <w:lang w:val="en-US"/>
        </w:rPr>
        <w:t xml:space="preserve"> </w:t>
      </w:r>
      <w:proofErr w:type="spellStart"/>
      <w:r>
        <w:rPr>
          <w:sz w:val="20"/>
          <w:szCs w:val="20"/>
          <w:lang w:val="en-US"/>
        </w:rPr>
        <w:t>pengamatan</w:t>
      </w:r>
      <w:proofErr w:type="spellEnd"/>
      <w:r w:rsidRPr="005277A3">
        <w:rPr>
          <w:sz w:val="20"/>
          <w:szCs w:val="20"/>
        </w:rPr>
        <w:t xml:space="preserve"> </w:t>
      </w:r>
      <w:r>
        <w:rPr>
          <w:sz w:val="20"/>
          <w:szCs w:val="20"/>
          <w:lang w:val="en-US"/>
        </w:rPr>
        <w:t xml:space="preserve">(12, 24, </w:t>
      </w:r>
      <w:proofErr w:type="spellStart"/>
      <w:r>
        <w:rPr>
          <w:sz w:val="20"/>
          <w:szCs w:val="20"/>
          <w:lang w:val="en-US"/>
        </w:rPr>
        <w:t>dan</w:t>
      </w:r>
      <w:proofErr w:type="spellEnd"/>
      <w:r>
        <w:rPr>
          <w:sz w:val="20"/>
          <w:szCs w:val="20"/>
          <w:lang w:val="en-US"/>
        </w:rPr>
        <w:t xml:space="preserve"> 36 </w:t>
      </w:r>
      <w:proofErr w:type="spellStart"/>
      <w:r>
        <w:rPr>
          <w:sz w:val="20"/>
          <w:szCs w:val="20"/>
          <w:lang w:val="en-US"/>
        </w:rPr>
        <w:t>hst</w:t>
      </w:r>
      <w:proofErr w:type="spellEnd"/>
      <w:r>
        <w:rPr>
          <w:sz w:val="20"/>
          <w:szCs w:val="20"/>
          <w:lang w:val="en-US"/>
        </w:rPr>
        <w:t xml:space="preserve">) </w:t>
      </w:r>
      <w:r w:rsidRPr="005277A3">
        <w:rPr>
          <w:sz w:val="20"/>
          <w:szCs w:val="20"/>
        </w:rPr>
        <w:t xml:space="preserve">(lampiran </w:t>
      </w:r>
      <w:r>
        <w:rPr>
          <w:sz w:val="20"/>
          <w:szCs w:val="20"/>
          <w:lang w:val="en-US"/>
        </w:rPr>
        <w:t>5</w:t>
      </w:r>
      <w:r w:rsidRPr="005277A3">
        <w:rPr>
          <w:sz w:val="20"/>
          <w:szCs w:val="20"/>
        </w:rPr>
        <w:t xml:space="preserve">). Data hasil analisis dapat dilihat pada tabel </w:t>
      </w:r>
      <w:r>
        <w:rPr>
          <w:sz w:val="20"/>
          <w:szCs w:val="20"/>
          <w:lang w:val="en-US"/>
        </w:rPr>
        <w:t>5</w:t>
      </w:r>
      <w:r w:rsidRPr="005277A3">
        <w:rPr>
          <w:sz w:val="20"/>
          <w:szCs w:val="20"/>
        </w:rPr>
        <w:t>.</w:t>
      </w:r>
    </w:p>
    <w:bookmarkEnd w:id="9"/>
    <w:p w:rsidR="0016149B" w:rsidRPr="005277A3" w:rsidRDefault="0016149B" w:rsidP="001A46A1">
      <w:pPr>
        <w:ind w:firstLine="426"/>
        <w:jc w:val="both"/>
        <w:rPr>
          <w:sz w:val="20"/>
          <w:szCs w:val="20"/>
        </w:rPr>
      </w:pPr>
      <w:r w:rsidRPr="005277A3">
        <w:rPr>
          <w:sz w:val="20"/>
          <w:szCs w:val="20"/>
        </w:rPr>
        <w:t xml:space="preserve">Tabel 5. Rata-rata berat basah </w:t>
      </w:r>
      <w:r w:rsidR="00193AE1" w:rsidRPr="005277A3">
        <w:rPr>
          <w:sz w:val="20"/>
          <w:szCs w:val="20"/>
        </w:rPr>
        <w:t xml:space="preserve">sayur sawi pakcoy </w:t>
      </w:r>
      <w:r w:rsidRPr="005277A3">
        <w:rPr>
          <w:sz w:val="20"/>
          <w:szCs w:val="20"/>
        </w:rPr>
        <w:t>(</w:t>
      </w:r>
      <w:r w:rsidRPr="005277A3">
        <w:rPr>
          <w:i/>
          <w:iCs/>
          <w:sz w:val="20"/>
          <w:szCs w:val="20"/>
        </w:rPr>
        <w:t xml:space="preserve">Brassica rapa </w:t>
      </w:r>
      <w:r w:rsidRPr="005277A3">
        <w:rPr>
          <w:sz w:val="20"/>
          <w:szCs w:val="20"/>
        </w:rPr>
        <w:t>L.) terhadap kondisi cekaman salinitas</w:t>
      </w:r>
    </w:p>
    <w:tbl>
      <w:tblPr>
        <w:tblW w:w="3256" w:type="dxa"/>
        <w:jc w:val="center"/>
        <w:tblBorders>
          <w:top w:val="single" w:sz="4" w:space="0" w:color="auto"/>
          <w:bottom w:val="single" w:sz="4" w:space="0" w:color="auto"/>
        </w:tblBorders>
        <w:tblLook w:val="04A0" w:firstRow="1" w:lastRow="0" w:firstColumn="1" w:lastColumn="0" w:noHBand="0" w:noVBand="1"/>
      </w:tblPr>
      <w:tblGrid>
        <w:gridCol w:w="1413"/>
        <w:gridCol w:w="1843"/>
      </w:tblGrid>
      <w:tr w:rsidR="0016149B" w:rsidRPr="005277A3" w:rsidTr="00A80FA1">
        <w:trPr>
          <w:trHeight w:val="23"/>
          <w:jc w:val="center"/>
        </w:trPr>
        <w:tc>
          <w:tcPr>
            <w:tcW w:w="1413" w:type="dxa"/>
            <w:tcBorders>
              <w:bottom w:val="single" w:sz="4" w:space="0" w:color="auto"/>
            </w:tcBorders>
            <w:shd w:val="clear" w:color="auto" w:fill="auto"/>
            <w:noWrap/>
            <w:vAlign w:val="bottom"/>
            <w:hideMark/>
          </w:tcPr>
          <w:p w:rsidR="0016149B" w:rsidRPr="005277A3" w:rsidRDefault="0016149B" w:rsidP="00A80FA1">
            <w:pPr>
              <w:jc w:val="both"/>
              <w:rPr>
                <w:sz w:val="20"/>
                <w:szCs w:val="20"/>
              </w:rPr>
            </w:pPr>
            <w:r w:rsidRPr="005277A3">
              <w:rPr>
                <w:sz w:val="20"/>
                <w:szCs w:val="20"/>
              </w:rPr>
              <w:t>Perlakuan</w:t>
            </w:r>
          </w:p>
        </w:tc>
        <w:tc>
          <w:tcPr>
            <w:tcW w:w="1843" w:type="dxa"/>
            <w:tcBorders>
              <w:bottom w:val="single" w:sz="4" w:space="0" w:color="auto"/>
            </w:tcBorders>
            <w:shd w:val="clear" w:color="auto" w:fill="auto"/>
            <w:noWrap/>
            <w:vAlign w:val="bottom"/>
            <w:hideMark/>
          </w:tcPr>
          <w:p w:rsidR="0016149B" w:rsidRPr="005277A3" w:rsidRDefault="0016149B" w:rsidP="00A80FA1">
            <w:pPr>
              <w:jc w:val="both"/>
              <w:rPr>
                <w:sz w:val="20"/>
                <w:szCs w:val="20"/>
              </w:rPr>
            </w:pPr>
            <w:r w:rsidRPr="005277A3">
              <w:rPr>
                <w:sz w:val="20"/>
                <w:szCs w:val="20"/>
              </w:rPr>
              <w:t>Rerata</w:t>
            </w:r>
          </w:p>
        </w:tc>
      </w:tr>
      <w:tr w:rsidR="0016149B" w:rsidRPr="005277A3" w:rsidTr="00A80FA1">
        <w:trPr>
          <w:trHeight w:val="23"/>
          <w:jc w:val="center"/>
        </w:trPr>
        <w:tc>
          <w:tcPr>
            <w:tcW w:w="1413" w:type="dxa"/>
            <w:tcBorders>
              <w:top w:val="single" w:sz="4" w:space="0" w:color="auto"/>
            </w:tcBorders>
            <w:shd w:val="clear" w:color="auto" w:fill="auto"/>
            <w:noWrap/>
            <w:vAlign w:val="bottom"/>
            <w:hideMark/>
          </w:tcPr>
          <w:p w:rsidR="0016149B" w:rsidRPr="005277A3" w:rsidRDefault="0016149B" w:rsidP="00A80FA1">
            <w:pPr>
              <w:jc w:val="both"/>
              <w:rPr>
                <w:b/>
                <w:bCs/>
                <w:sz w:val="20"/>
                <w:szCs w:val="20"/>
              </w:rPr>
            </w:pPr>
            <w:r w:rsidRPr="005277A3">
              <w:rPr>
                <w:b/>
                <w:bCs/>
                <w:sz w:val="20"/>
                <w:szCs w:val="20"/>
              </w:rPr>
              <w:t>S0</w:t>
            </w:r>
          </w:p>
        </w:tc>
        <w:tc>
          <w:tcPr>
            <w:tcW w:w="1843" w:type="dxa"/>
            <w:tcBorders>
              <w:top w:val="single" w:sz="4" w:space="0" w:color="auto"/>
            </w:tcBorders>
            <w:shd w:val="clear" w:color="auto" w:fill="auto"/>
            <w:noWrap/>
            <w:vAlign w:val="bottom"/>
            <w:hideMark/>
          </w:tcPr>
          <w:p w:rsidR="0016149B" w:rsidRPr="005277A3" w:rsidRDefault="0016149B" w:rsidP="00A80FA1">
            <w:pPr>
              <w:jc w:val="both"/>
              <w:rPr>
                <w:sz w:val="20"/>
                <w:szCs w:val="20"/>
              </w:rPr>
            </w:pPr>
            <w:r w:rsidRPr="005277A3">
              <w:rPr>
                <w:sz w:val="20"/>
                <w:szCs w:val="20"/>
              </w:rPr>
              <w:t>41.59</w:t>
            </w:r>
          </w:p>
        </w:tc>
      </w:tr>
      <w:tr w:rsidR="0016149B" w:rsidRPr="005277A3" w:rsidTr="00A80FA1">
        <w:trPr>
          <w:trHeight w:val="23"/>
          <w:jc w:val="center"/>
        </w:trPr>
        <w:tc>
          <w:tcPr>
            <w:tcW w:w="1413" w:type="dxa"/>
            <w:shd w:val="clear" w:color="auto" w:fill="auto"/>
            <w:noWrap/>
            <w:vAlign w:val="bottom"/>
            <w:hideMark/>
          </w:tcPr>
          <w:p w:rsidR="0016149B" w:rsidRPr="005277A3" w:rsidRDefault="0016149B" w:rsidP="00A80FA1">
            <w:pPr>
              <w:jc w:val="both"/>
              <w:rPr>
                <w:b/>
                <w:bCs/>
                <w:sz w:val="20"/>
                <w:szCs w:val="20"/>
              </w:rPr>
            </w:pPr>
            <w:r w:rsidRPr="005277A3">
              <w:rPr>
                <w:b/>
                <w:bCs/>
                <w:sz w:val="20"/>
                <w:szCs w:val="20"/>
              </w:rPr>
              <w:t>S1</w:t>
            </w:r>
          </w:p>
        </w:tc>
        <w:tc>
          <w:tcPr>
            <w:tcW w:w="1843" w:type="dxa"/>
            <w:shd w:val="clear" w:color="auto" w:fill="auto"/>
            <w:noWrap/>
            <w:vAlign w:val="bottom"/>
            <w:hideMark/>
          </w:tcPr>
          <w:p w:rsidR="0016149B" w:rsidRPr="005277A3" w:rsidRDefault="0016149B" w:rsidP="00A80FA1">
            <w:pPr>
              <w:jc w:val="both"/>
              <w:rPr>
                <w:sz w:val="20"/>
                <w:szCs w:val="20"/>
              </w:rPr>
            </w:pPr>
            <w:r w:rsidRPr="005277A3">
              <w:rPr>
                <w:sz w:val="20"/>
                <w:szCs w:val="20"/>
              </w:rPr>
              <w:t>43.08</w:t>
            </w:r>
          </w:p>
        </w:tc>
      </w:tr>
      <w:tr w:rsidR="0016149B" w:rsidRPr="005277A3" w:rsidTr="00A80FA1">
        <w:trPr>
          <w:trHeight w:val="23"/>
          <w:jc w:val="center"/>
        </w:trPr>
        <w:tc>
          <w:tcPr>
            <w:tcW w:w="1413" w:type="dxa"/>
            <w:shd w:val="clear" w:color="auto" w:fill="auto"/>
            <w:noWrap/>
            <w:vAlign w:val="bottom"/>
            <w:hideMark/>
          </w:tcPr>
          <w:p w:rsidR="0016149B" w:rsidRPr="005277A3" w:rsidRDefault="0016149B" w:rsidP="00A80FA1">
            <w:pPr>
              <w:jc w:val="both"/>
              <w:rPr>
                <w:b/>
                <w:bCs/>
                <w:sz w:val="20"/>
                <w:szCs w:val="20"/>
              </w:rPr>
            </w:pPr>
            <w:r w:rsidRPr="005277A3">
              <w:rPr>
                <w:b/>
                <w:bCs/>
                <w:sz w:val="20"/>
                <w:szCs w:val="20"/>
              </w:rPr>
              <w:t>S2</w:t>
            </w:r>
          </w:p>
        </w:tc>
        <w:tc>
          <w:tcPr>
            <w:tcW w:w="1843" w:type="dxa"/>
            <w:shd w:val="clear" w:color="auto" w:fill="auto"/>
            <w:noWrap/>
            <w:vAlign w:val="bottom"/>
            <w:hideMark/>
          </w:tcPr>
          <w:p w:rsidR="0016149B" w:rsidRPr="005277A3" w:rsidRDefault="0016149B" w:rsidP="00A80FA1">
            <w:pPr>
              <w:jc w:val="both"/>
              <w:rPr>
                <w:sz w:val="20"/>
                <w:szCs w:val="20"/>
              </w:rPr>
            </w:pPr>
            <w:r w:rsidRPr="005277A3">
              <w:rPr>
                <w:sz w:val="20"/>
                <w:szCs w:val="20"/>
              </w:rPr>
              <w:t>44.50</w:t>
            </w:r>
          </w:p>
        </w:tc>
      </w:tr>
      <w:tr w:rsidR="0016149B" w:rsidRPr="005277A3" w:rsidTr="00A80FA1">
        <w:trPr>
          <w:trHeight w:val="23"/>
          <w:jc w:val="center"/>
        </w:trPr>
        <w:tc>
          <w:tcPr>
            <w:tcW w:w="1413" w:type="dxa"/>
            <w:shd w:val="clear" w:color="auto" w:fill="auto"/>
            <w:noWrap/>
            <w:vAlign w:val="bottom"/>
            <w:hideMark/>
          </w:tcPr>
          <w:p w:rsidR="0016149B" w:rsidRPr="005277A3" w:rsidRDefault="0016149B" w:rsidP="00A80FA1">
            <w:pPr>
              <w:jc w:val="both"/>
              <w:rPr>
                <w:b/>
                <w:bCs/>
                <w:sz w:val="20"/>
                <w:szCs w:val="20"/>
              </w:rPr>
            </w:pPr>
            <w:r w:rsidRPr="005277A3">
              <w:rPr>
                <w:b/>
                <w:bCs/>
                <w:sz w:val="20"/>
                <w:szCs w:val="20"/>
              </w:rPr>
              <w:t>S3</w:t>
            </w:r>
          </w:p>
        </w:tc>
        <w:tc>
          <w:tcPr>
            <w:tcW w:w="1843" w:type="dxa"/>
            <w:shd w:val="clear" w:color="auto" w:fill="auto"/>
            <w:noWrap/>
            <w:vAlign w:val="bottom"/>
            <w:hideMark/>
          </w:tcPr>
          <w:p w:rsidR="0016149B" w:rsidRPr="005277A3" w:rsidRDefault="0016149B" w:rsidP="00A80FA1">
            <w:pPr>
              <w:jc w:val="both"/>
              <w:rPr>
                <w:sz w:val="20"/>
                <w:szCs w:val="20"/>
              </w:rPr>
            </w:pPr>
            <w:r w:rsidRPr="005277A3">
              <w:rPr>
                <w:sz w:val="20"/>
                <w:szCs w:val="20"/>
              </w:rPr>
              <w:t>44.00</w:t>
            </w:r>
          </w:p>
        </w:tc>
      </w:tr>
      <w:tr w:rsidR="0016149B" w:rsidRPr="005277A3" w:rsidTr="00A80FA1">
        <w:trPr>
          <w:trHeight w:val="23"/>
          <w:jc w:val="center"/>
        </w:trPr>
        <w:tc>
          <w:tcPr>
            <w:tcW w:w="1413" w:type="dxa"/>
            <w:shd w:val="clear" w:color="auto" w:fill="auto"/>
            <w:noWrap/>
            <w:vAlign w:val="bottom"/>
            <w:hideMark/>
          </w:tcPr>
          <w:p w:rsidR="0016149B" w:rsidRPr="005277A3" w:rsidRDefault="0016149B" w:rsidP="00A80FA1">
            <w:pPr>
              <w:jc w:val="both"/>
              <w:rPr>
                <w:b/>
                <w:bCs/>
                <w:sz w:val="20"/>
                <w:szCs w:val="20"/>
              </w:rPr>
            </w:pPr>
            <w:r w:rsidRPr="005277A3">
              <w:rPr>
                <w:b/>
                <w:bCs/>
                <w:sz w:val="20"/>
                <w:szCs w:val="20"/>
              </w:rPr>
              <w:t>S4</w:t>
            </w:r>
          </w:p>
        </w:tc>
        <w:tc>
          <w:tcPr>
            <w:tcW w:w="1843" w:type="dxa"/>
            <w:shd w:val="clear" w:color="auto" w:fill="auto"/>
            <w:noWrap/>
            <w:vAlign w:val="bottom"/>
            <w:hideMark/>
          </w:tcPr>
          <w:p w:rsidR="0016149B" w:rsidRPr="005277A3" w:rsidRDefault="0016149B" w:rsidP="00A80FA1">
            <w:pPr>
              <w:jc w:val="both"/>
              <w:rPr>
                <w:sz w:val="20"/>
                <w:szCs w:val="20"/>
              </w:rPr>
            </w:pPr>
            <w:r w:rsidRPr="005277A3">
              <w:rPr>
                <w:sz w:val="20"/>
                <w:szCs w:val="20"/>
              </w:rPr>
              <w:t>48.42</w:t>
            </w:r>
          </w:p>
        </w:tc>
      </w:tr>
      <w:tr w:rsidR="0016149B" w:rsidRPr="005277A3" w:rsidTr="00A80FA1">
        <w:trPr>
          <w:trHeight w:val="23"/>
          <w:jc w:val="center"/>
        </w:trPr>
        <w:tc>
          <w:tcPr>
            <w:tcW w:w="1413" w:type="dxa"/>
            <w:tcBorders>
              <w:bottom w:val="single" w:sz="4" w:space="0" w:color="auto"/>
            </w:tcBorders>
            <w:shd w:val="clear" w:color="auto" w:fill="auto"/>
            <w:noWrap/>
            <w:vAlign w:val="bottom"/>
            <w:hideMark/>
          </w:tcPr>
          <w:p w:rsidR="0016149B" w:rsidRPr="005277A3" w:rsidRDefault="0016149B" w:rsidP="00A80FA1">
            <w:pPr>
              <w:jc w:val="both"/>
              <w:rPr>
                <w:b/>
                <w:bCs/>
                <w:sz w:val="20"/>
                <w:szCs w:val="20"/>
              </w:rPr>
            </w:pPr>
            <w:r w:rsidRPr="005277A3">
              <w:rPr>
                <w:b/>
                <w:bCs/>
                <w:sz w:val="20"/>
                <w:szCs w:val="20"/>
              </w:rPr>
              <w:t>S5</w:t>
            </w:r>
          </w:p>
        </w:tc>
        <w:tc>
          <w:tcPr>
            <w:tcW w:w="1843" w:type="dxa"/>
            <w:tcBorders>
              <w:bottom w:val="single" w:sz="4" w:space="0" w:color="auto"/>
            </w:tcBorders>
            <w:shd w:val="clear" w:color="auto" w:fill="auto"/>
            <w:noWrap/>
            <w:vAlign w:val="bottom"/>
            <w:hideMark/>
          </w:tcPr>
          <w:p w:rsidR="0016149B" w:rsidRPr="005277A3" w:rsidRDefault="0016149B" w:rsidP="00A80FA1">
            <w:pPr>
              <w:jc w:val="both"/>
              <w:rPr>
                <w:sz w:val="20"/>
                <w:szCs w:val="20"/>
              </w:rPr>
            </w:pPr>
            <w:r w:rsidRPr="005277A3">
              <w:rPr>
                <w:sz w:val="20"/>
                <w:szCs w:val="20"/>
              </w:rPr>
              <w:t>41.36</w:t>
            </w:r>
          </w:p>
        </w:tc>
      </w:tr>
      <w:tr w:rsidR="0016149B" w:rsidRPr="005277A3" w:rsidTr="00A80FA1">
        <w:trPr>
          <w:trHeight w:val="23"/>
          <w:jc w:val="center"/>
        </w:trPr>
        <w:tc>
          <w:tcPr>
            <w:tcW w:w="1413" w:type="dxa"/>
            <w:tcBorders>
              <w:top w:val="single" w:sz="4" w:space="0" w:color="auto"/>
            </w:tcBorders>
            <w:shd w:val="clear" w:color="auto" w:fill="auto"/>
            <w:noWrap/>
            <w:vAlign w:val="bottom"/>
            <w:hideMark/>
          </w:tcPr>
          <w:p w:rsidR="0016149B" w:rsidRPr="005277A3" w:rsidRDefault="0016149B" w:rsidP="00A80FA1">
            <w:pPr>
              <w:jc w:val="both"/>
              <w:rPr>
                <w:b/>
                <w:bCs/>
                <w:sz w:val="20"/>
                <w:szCs w:val="20"/>
              </w:rPr>
            </w:pPr>
            <w:r w:rsidRPr="005277A3">
              <w:rPr>
                <w:b/>
                <w:bCs/>
                <w:sz w:val="20"/>
                <w:szCs w:val="20"/>
              </w:rPr>
              <w:t>BNJ 5%</w:t>
            </w:r>
          </w:p>
        </w:tc>
        <w:tc>
          <w:tcPr>
            <w:tcW w:w="1843" w:type="dxa"/>
            <w:tcBorders>
              <w:top w:val="single" w:sz="4" w:space="0" w:color="auto"/>
            </w:tcBorders>
            <w:shd w:val="clear" w:color="auto" w:fill="auto"/>
            <w:noWrap/>
            <w:vAlign w:val="bottom"/>
            <w:hideMark/>
          </w:tcPr>
          <w:p w:rsidR="0016149B" w:rsidRPr="005277A3" w:rsidRDefault="0016149B" w:rsidP="00A80FA1">
            <w:pPr>
              <w:jc w:val="both"/>
              <w:rPr>
                <w:sz w:val="20"/>
                <w:szCs w:val="20"/>
              </w:rPr>
            </w:pPr>
            <w:r w:rsidRPr="005277A3">
              <w:rPr>
                <w:sz w:val="20"/>
                <w:szCs w:val="20"/>
              </w:rPr>
              <w:t>TN</w:t>
            </w:r>
          </w:p>
        </w:tc>
      </w:tr>
    </w:tbl>
    <w:p w:rsidR="0016149B" w:rsidRPr="005277A3" w:rsidRDefault="0016149B" w:rsidP="0016149B">
      <w:pPr>
        <w:jc w:val="both"/>
        <w:rPr>
          <w:sz w:val="20"/>
          <w:szCs w:val="20"/>
        </w:rPr>
      </w:pPr>
      <w:r w:rsidRPr="005277A3">
        <w:rPr>
          <w:sz w:val="20"/>
          <w:szCs w:val="20"/>
        </w:rPr>
        <w:t>Keterangan: tidak berbeda nyata (TN)</w:t>
      </w:r>
    </w:p>
    <w:p w:rsidR="0016149B" w:rsidRDefault="0016149B" w:rsidP="001A46A1">
      <w:pPr>
        <w:ind w:firstLine="426"/>
        <w:jc w:val="both"/>
        <w:rPr>
          <w:sz w:val="20"/>
          <w:szCs w:val="20"/>
        </w:rPr>
      </w:pPr>
      <w:bookmarkStart w:id="10" w:name="_Hlk64390116"/>
      <w:r w:rsidRPr="005277A3">
        <w:rPr>
          <w:sz w:val="20"/>
          <w:szCs w:val="20"/>
        </w:rPr>
        <w:t xml:space="preserve">Dari hasil uji anova seperti yang ada pada tabel diatas menunjukkan bahwa tidak adanya </w:t>
      </w:r>
      <w:proofErr w:type="spellStart"/>
      <w:r w:rsidR="00581C10">
        <w:rPr>
          <w:sz w:val="20"/>
          <w:szCs w:val="20"/>
          <w:lang w:val="en-US"/>
        </w:rPr>
        <w:t>respon</w:t>
      </w:r>
      <w:proofErr w:type="spellEnd"/>
      <w:r w:rsidRPr="005277A3">
        <w:rPr>
          <w:sz w:val="20"/>
          <w:szCs w:val="20"/>
        </w:rPr>
        <w:t xml:space="preserve"> pada perlakuan pemberian cekaman salinitas. Dapat diketahui dari tabel tersebut bahwa hasil rerata berat basah sayur terbaik ialah perlakuan S4(salinitas 2500 ppm) dengan angka rata-rata 48,42 gr. Hal tersebut membuktikan bahwa tanaman pakcoy toleran terhadap salinitas tinggi serta mampu tumbuh dengan baik terutama pada berat basah sayur hingga salinitas 3000 ppm. </w:t>
      </w:r>
    </w:p>
    <w:p w:rsidR="009C4800" w:rsidRDefault="009C4800" w:rsidP="001A46A1">
      <w:pPr>
        <w:ind w:firstLine="426"/>
        <w:jc w:val="both"/>
        <w:rPr>
          <w:sz w:val="20"/>
          <w:szCs w:val="20"/>
        </w:rPr>
      </w:pPr>
      <w:bookmarkStart w:id="11" w:name="_Hlk64390174"/>
      <w:bookmarkEnd w:id="10"/>
      <w:r w:rsidRPr="005277A3">
        <w:rPr>
          <w:color w:val="000000" w:themeColor="text1"/>
          <w:sz w:val="20"/>
          <w:szCs w:val="20"/>
        </w:rPr>
        <w:t xml:space="preserve">Hasil analisis ragam </w:t>
      </w:r>
      <w:r w:rsidRPr="005277A3">
        <w:rPr>
          <w:sz w:val="20"/>
          <w:szCs w:val="20"/>
        </w:rPr>
        <w:t>menunjukkan bahwa</w:t>
      </w:r>
      <w:r>
        <w:rPr>
          <w:sz w:val="20"/>
          <w:szCs w:val="20"/>
          <w:lang w:val="en-US"/>
        </w:rPr>
        <w:t xml:space="preserve"> </w:t>
      </w:r>
      <w:proofErr w:type="spellStart"/>
      <w:r>
        <w:rPr>
          <w:sz w:val="20"/>
          <w:szCs w:val="20"/>
          <w:lang w:val="en-US"/>
        </w:rPr>
        <w:t>perlakuan</w:t>
      </w:r>
      <w:proofErr w:type="spellEnd"/>
      <w:r>
        <w:rPr>
          <w:sz w:val="20"/>
          <w:szCs w:val="20"/>
          <w:lang w:val="en-US"/>
        </w:rPr>
        <w:t xml:space="preserve"> </w:t>
      </w:r>
      <w:proofErr w:type="spellStart"/>
      <w:r>
        <w:rPr>
          <w:sz w:val="20"/>
          <w:szCs w:val="20"/>
          <w:lang w:val="en-US"/>
        </w:rPr>
        <w:t>pemberian</w:t>
      </w:r>
      <w:proofErr w:type="spellEnd"/>
      <w:r>
        <w:rPr>
          <w:sz w:val="20"/>
          <w:szCs w:val="20"/>
          <w:lang w:val="en-US"/>
        </w:rPr>
        <w:t xml:space="preserve"> </w:t>
      </w:r>
      <w:proofErr w:type="spellStart"/>
      <w:r>
        <w:rPr>
          <w:sz w:val="20"/>
          <w:szCs w:val="20"/>
          <w:lang w:val="en-US"/>
        </w:rPr>
        <w:t>cekaman</w:t>
      </w:r>
      <w:proofErr w:type="spellEnd"/>
      <w:r>
        <w:rPr>
          <w:sz w:val="20"/>
          <w:szCs w:val="20"/>
          <w:lang w:val="en-US"/>
        </w:rPr>
        <w:t xml:space="preserve"> </w:t>
      </w:r>
      <w:proofErr w:type="spellStart"/>
      <w:r>
        <w:rPr>
          <w:sz w:val="20"/>
          <w:szCs w:val="20"/>
          <w:lang w:val="en-US"/>
        </w:rPr>
        <w:t>salinitas</w:t>
      </w:r>
      <w:proofErr w:type="spellEnd"/>
      <w:r>
        <w:rPr>
          <w:sz w:val="20"/>
          <w:szCs w:val="20"/>
          <w:lang w:val="en-US"/>
        </w:rPr>
        <w:t xml:space="preserve"> </w:t>
      </w:r>
      <w:proofErr w:type="spellStart"/>
      <w:r>
        <w:rPr>
          <w:sz w:val="20"/>
          <w:szCs w:val="20"/>
          <w:lang w:val="en-US"/>
        </w:rPr>
        <w:t>tidak</w:t>
      </w:r>
      <w:proofErr w:type="spellEnd"/>
      <w:r>
        <w:rPr>
          <w:sz w:val="20"/>
          <w:szCs w:val="20"/>
          <w:lang w:val="en-US"/>
        </w:rPr>
        <w:t xml:space="preserve"> </w:t>
      </w:r>
      <w:proofErr w:type="spellStart"/>
      <w:r>
        <w:rPr>
          <w:sz w:val="20"/>
          <w:szCs w:val="20"/>
          <w:lang w:val="en-US"/>
        </w:rPr>
        <w:t>memberikan</w:t>
      </w:r>
      <w:proofErr w:type="spellEnd"/>
      <w:r>
        <w:rPr>
          <w:sz w:val="20"/>
          <w:szCs w:val="20"/>
          <w:lang w:val="en-US"/>
        </w:rPr>
        <w:t xml:space="preserve"> </w:t>
      </w:r>
      <w:proofErr w:type="spellStart"/>
      <w:r>
        <w:rPr>
          <w:sz w:val="20"/>
          <w:szCs w:val="20"/>
          <w:lang w:val="en-US"/>
        </w:rPr>
        <w:t>respon</w:t>
      </w:r>
      <w:proofErr w:type="spellEnd"/>
      <w:r>
        <w:rPr>
          <w:sz w:val="20"/>
          <w:szCs w:val="20"/>
          <w:lang w:val="en-US"/>
        </w:rPr>
        <w:t xml:space="preserve"> yang </w:t>
      </w:r>
      <w:proofErr w:type="spellStart"/>
      <w:r>
        <w:rPr>
          <w:sz w:val="20"/>
          <w:szCs w:val="20"/>
          <w:lang w:val="en-US"/>
        </w:rPr>
        <w:t>nyata</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variable </w:t>
      </w:r>
      <w:proofErr w:type="spellStart"/>
      <w:r>
        <w:rPr>
          <w:sz w:val="20"/>
          <w:szCs w:val="20"/>
          <w:lang w:val="en-US"/>
        </w:rPr>
        <w:t>pengamatan</w:t>
      </w:r>
      <w:proofErr w:type="spellEnd"/>
      <w:r>
        <w:rPr>
          <w:sz w:val="20"/>
          <w:szCs w:val="20"/>
          <w:lang w:val="en-US"/>
        </w:rPr>
        <w:t xml:space="preserve"> </w:t>
      </w:r>
      <w:proofErr w:type="spellStart"/>
      <w:r>
        <w:rPr>
          <w:sz w:val="20"/>
          <w:szCs w:val="20"/>
          <w:lang w:val="en-US"/>
        </w:rPr>
        <w:t>berat</w:t>
      </w:r>
      <w:proofErr w:type="spellEnd"/>
      <w:r>
        <w:rPr>
          <w:sz w:val="20"/>
          <w:szCs w:val="20"/>
          <w:lang w:val="en-US"/>
        </w:rPr>
        <w:t xml:space="preserve"> </w:t>
      </w:r>
      <w:proofErr w:type="spellStart"/>
      <w:r>
        <w:rPr>
          <w:sz w:val="20"/>
          <w:szCs w:val="20"/>
          <w:lang w:val="en-US"/>
        </w:rPr>
        <w:t>konsumsi</w:t>
      </w:r>
      <w:proofErr w:type="spellEnd"/>
      <w:r>
        <w:rPr>
          <w:sz w:val="20"/>
          <w:szCs w:val="20"/>
          <w:lang w:val="en-US"/>
        </w:rPr>
        <w:t xml:space="preserve"> </w:t>
      </w:r>
      <w:proofErr w:type="spellStart"/>
      <w:r>
        <w:rPr>
          <w:sz w:val="20"/>
          <w:szCs w:val="20"/>
          <w:lang w:val="en-US"/>
        </w:rPr>
        <w:t>sayur</w:t>
      </w:r>
      <w:proofErr w:type="spellEnd"/>
      <w:r>
        <w:rPr>
          <w:sz w:val="20"/>
          <w:szCs w:val="20"/>
          <w:lang w:val="en-US"/>
        </w:rPr>
        <w:t xml:space="preserve"> </w:t>
      </w:r>
      <w:proofErr w:type="spellStart"/>
      <w:r>
        <w:rPr>
          <w:sz w:val="20"/>
          <w:szCs w:val="20"/>
          <w:lang w:val="en-US"/>
        </w:rPr>
        <w:t>pada</w:t>
      </w:r>
      <w:proofErr w:type="spellEnd"/>
      <w:r>
        <w:rPr>
          <w:sz w:val="20"/>
          <w:szCs w:val="20"/>
          <w:lang w:val="en-US"/>
        </w:rPr>
        <w:t xml:space="preserve"> </w:t>
      </w:r>
      <w:proofErr w:type="spellStart"/>
      <w:r>
        <w:rPr>
          <w:sz w:val="20"/>
          <w:szCs w:val="20"/>
          <w:lang w:val="en-US"/>
        </w:rPr>
        <w:t>semua</w:t>
      </w:r>
      <w:proofErr w:type="spellEnd"/>
      <w:r>
        <w:rPr>
          <w:sz w:val="20"/>
          <w:szCs w:val="20"/>
          <w:lang w:val="en-US"/>
        </w:rPr>
        <w:t xml:space="preserve"> </w:t>
      </w:r>
      <w:proofErr w:type="spellStart"/>
      <w:r>
        <w:rPr>
          <w:sz w:val="20"/>
          <w:szCs w:val="20"/>
          <w:lang w:val="en-US"/>
        </w:rPr>
        <w:t>umur</w:t>
      </w:r>
      <w:proofErr w:type="spellEnd"/>
      <w:r>
        <w:rPr>
          <w:sz w:val="20"/>
          <w:szCs w:val="20"/>
          <w:lang w:val="en-US"/>
        </w:rPr>
        <w:t xml:space="preserve"> </w:t>
      </w:r>
      <w:proofErr w:type="spellStart"/>
      <w:r>
        <w:rPr>
          <w:sz w:val="20"/>
          <w:szCs w:val="20"/>
          <w:lang w:val="en-US"/>
        </w:rPr>
        <w:t>pengamatan</w:t>
      </w:r>
      <w:proofErr w:type="spellEnd"/>
      <w:r w:rsidRPr="005277A3">
        <w:rPr>
          <w:sz w:val="20"/>
          <w:szCs w:val="20"/>
        </w:rPr>
        <w:t xml:space="preserve"> </w:t>
      </w:r>
      <w:r>
        <w:rPr>
          <w:sz w:val="20"/>
          <w:szCs w:val="20"/>
          <w:lang w:val="en-US"/>
        </w:rPr>
        <w:t xml:space="preserve">(12, 24, </w:t>
      </w:r>
      <w:proofErr w:type="spellStart"/>
      <w:r>
        <w:rPr>
          <w:sz w:val="20"/>
          <w:szCs w:val="20"/>
          <w:lang w:val="en-US"/>
        </w:rPr>
        <w:t>dan</w:t>
      </w:r>
      <w:proofErr w:type="spellEnd"/>
      <w:r>
        <w:rPr>
          <w:sz w:val="20"/>
          <w:szCs w:val="20"/>
          <w:lang w:val="en-US"/>
        </w:rPr>
        <w:t xml:space="preserve"> 36 </w:t>
      </w:r>
      <w:proofErr w:type="spellStart"/>
      <w:r>
        <w:rPr>
          <w:sz w:val="20"/>
          <w:szCs w:val="20"/>
          <w:lang w:val="en-US"/>
        </w:rPr>
        <w:t>hst</w:t>
      </w:r>
      <w:proofErr w:type="spellEnd"/>
      <w:r>
        <w:rPr>
          <w:sz w:val="20"/>
          <w:szCs w:val="20"/>
          <w:lang w:val="en-US"/>
        </w:rPr>
        <w:t xml:space="preserve">) </w:t>
      </w:r>
      <w:r w:rsidRPr="005277A3">
        <w:rPr>
          <w:sz w:val="20"/>
          <w:szCs w:val="20"/>
        </w:rPr>
        <w:t xml:space="preserve">(lampiran </w:t>
      </w:r>
      <w:r>
        <w:rPr>
          <w:sz w:val="20"/>
          <w:szCs w:val="20"/>
          <w:lang w:val="en-US"/>
        </w:rPr>
        <w:t>6</w:t>
      </w:r>
      <w:r w:rsidRPr="005277A3">
        <w:rPr>
          <w:sz w:val="20"/>
          <w:szCs w:val="20"/>
        </w:rPr>
        <w:t xml:space="preserve">). Data hasil analisis dapat dilihat pada tabel </w:t>
      </w:r>
      <w:r>
        <w:rPr>
          <w:sz w:val="20"/>
          <w:szCs w:val="20"/>
          <w:lang w:val="en-US"/>
        </w:rPr>
        <w:t>6</w:t>
      </w:r>
      <w:r w:rsidRPr="005277A3">
        <w:rPr>
          <w:sz w:val="20"/>
          <w:szCs w:val="20"/>
        </w:rPr>
        <w:t>.</w:t>
      </w:r>
    </w:p>
    <w:bookmarkEnd w:id="11"/>
    <w:p w:rsidR="0016149B" w:rsidRPr="005277A3" w:rsidRDefault="0016149B" w:rsidP="001A46A1">
      <w:pPr>
        <w:ind w:firstLine="426"/>
        <w:jc w:val="both"/>
        <w:rPr>
          <w:sz w:val="20"/>
          <w:szCs w:val="20"/>
        </w:rPr>
      </w:pPr>
      <w:r w:rsidRPr="005277A3">
        <w:rPr>
          <w:sz w:val="20"/>
          <w:szCs w:val="20"/>
        </w:rPr>
        <w:t xml:space="preserve">Tabel 6. Rata-rata berat konsumsi </w:t>
      </w:r>
      <w:r w:rsidR="00193AE1" w:rsidRPr="005277A3">
        <w:rPr>
          <w:sz w:val="20"/>
          <w:szCs w:val="20"/>
        </w:rPr>
        <w:t xml:space="preserve">sayur sawi pakcoy </w:t>
      </w:r>
      <w:r w:rsidRPr="005277A3">
        <w:rPr>
          <w:sz w:val="20"/>
          <w:szCs w:val="20"/>
        </w:rPr>
        <w:t>(</w:t>
      </w:r>
      <w:r w:rsidRPr="005277A3">
        <w:rPr>
          <w:i/>
          <w:iCs/>
          <w:sz w:val="20"/>
          <w:szCs w:val="20"/>
        </w:rPr>
        <w:t xml:space="preserve">Brassica rapa </w:t>
      </w:r>
      <w:r w:rsidRPr="005277A3">
        <w:rPr>
          <w:sz w:val="20"/>
          <w:szCs w:val="20"/>
        </w:rPr>
        <w:t>L.) terhadap kondisi cekaman salinitas</w:t>
      </w:r>
    </w:p>
    <w:tbl>
      <w:tblPr>
        <w:tblW w:w="3256" w:type="dxa"/>
        <w:jc w:val="center"/>
        <w:tblBorders>
          <w:top w:val="single" w:sz="4" w:space="0" w:color="auto"/>
          <w:bottom w:val="single" w:sz="4" w:space="0" w:color="auto"/>
        </w:tblBorders>
        <w:tblLook w:val="04A0" w:firstRow="1" w:lastRow="0" w:firstColumn="1" w:lastColumn="0" w:noHBand="0" w:noVBand="1"/>
      </w:tblPr>
      <w:tblGrid>
        <w:gridCol w:w="1413"/>
        <w:gridCol w:w="1843"/>
      </w:tblGrid>
      <w:tr w:rsidR="0016149B" w:rsidRPr="005277A3" w:rsidTr="00A80FA1">
        <w:trPr>
          <w:trHeight w:val="20"/>
          <w:jc w:val="center"/>
        </w:trPr>
        <w:tc>
          <w:tcPr>
            <w:tcW w:w="1413"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Perlakuan</w:t>
            </w:r>
          </w:p>
        </w:tc>
        <w:tc>
          <w:tcPr>
            <w:tcW w:w="1843"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Rerata</w:t>
            </w:r>
          </w:p>
        </w:tc>
      </w:tr>
      <w:tr w:rsidR="0016149B" w:rsidRPr="005277A3" w:rsidTr="00A80FA1">
        <w:trPr>
          <w:trHeight w:val="20"/>
          <w:jc w:val="center"/>
        </w:trPr>
        <w:tc>
          <w:tcPr>
            <w:tcW w:w="1413"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S0</w:t>
            </w:r>
          </w:p>
        </w:tc>
        <w:tc>
          <w:tcPr>
            <w:tcW w:w="1843"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25.81</w:t>
            </w:r>
          </w:p>
        </w:tc>
      </w:tr>
      <w:tr w:rsidR="0016149B" w:rsidRPr="005277A3" w:rsidTr="00A80FA1">
        <w:trPr>
          <w:trHeight w:val="20"/>
          <w:jc w:val="center"/>
        </w:trPr>
        <w:tc>
          <w:tcPr>
            <w:tcW w:w="1413" w:type="dxa"/>
            <w:shd w:val="clear" w:color="auto" w:fill="auto"/>
            <w:noWrap/>
            <w:vAlign w:val="center"/>
            <w:hideMark/>
          </w:tcPr>
          <w:p w:rsidR="0016149B" w:rsidRPr="005277A3" w:rsidRDefault="0016149B" w:rsidP="00A80FA1">
            <w:pPr>
              <w:jc w:val="center"/>
              <w:rPr>
                <w:sz w:val="20"/>
                <w:szCs w:val="20"/>
              </w:rPr>
            </w:pPr>
            <w:r w:rsidRPr="005277A3">
              <w:rPr>
                <w:sz w:val="20"/>
                <w:szCs w:val="20"/>
              </w:rPr>
              <w:t>S1</w:t>
            </w:r>
          </w:p>
        </w:tc>
        <w:tc>
          <w:tcPr>
            <w:tcW w:w="1843" w:type="dxa"/>
            <w:shd w:val="clear" w:color="auto" w:fill="auto"/>
            <w:noWrap/>
            <w:vAlign w:val="center"/>
            <w:hideMark/>
          </w:tcPr>
          <w:p w:rsidR="0016149B" w:rsidRPr="005277A3" w:rsidRDefault="0016149B" w:rsidP="00A80FA1">
            <w:pPr>
              <w:jc w:val="center"/>
              <w:rPr>
                <w:sz w:val="20"/>
                <w:szCs w:val="20"/>
              </w:rPr>
            </w:pPr>
            <w:r w:rsidRPr="005277A3">
              <w:rPr>
                <w:sz w:val="20"/>
                <w:szCs w:val="20"/>
              </w:rPr>
              <w:t>26.11</w:t>
            </w:r>
          </w:p>
        </w:tc>
      </w:tr>
      <w:tr w:rsidR="0016149B" w:rsidRPr="005277A3" w:rsidTr="00A80FA1">
        <w:trPr>
          <w:trHeight w:val="20"/>
          <w:jc w:val="center"/>
        </w:trPr>
        <w:tc>
          <w:tcPr>
            <w:tcW w:w="1413" w:type="dxa"/>
            <w:shd w:val="clear" w:color="auto" w:fill="auto"/>
            <w:noWrap/>
            <w:vAlign w:val="center"/>
            <w:hideMark/>
          </w:tcPr>
          <w:p w:rsidR="0016149B" w:rsidRPr="005277A3" w:rsidRDefault="0016149B" w:rsidP="00A80FA1">
            <w:pPr>
              <w:jc w:val="center"/>
              <w:rPr>
                <w:sz w:val="20"/>
                <w:szCs w:val="20"/>
              </w:rPr>
            </w:pPr>
            <w:r w:rsidRPr="005277A3">
              <w:rPr>
                <w:sz w:val="20"/>
                <w:szCs w:val="20"/>
              </w:rPr>
              <w:t>S2</w:t>
            </w:r>
          </w:p>
        </w:tc>
        <w:tc>
          <w:tcPr>
            <w:tcW w:w="1843" w:type="dxa"/>
            <w:shd w:val="clear" w:color="auto" w:fill="auto"/>
            <w:noWrap/>
            <w:vAlign w:val="center"/>
            <w:hideMark/>
          </w:tcPr>
          <w:p w:rsidR="0016149B" w:rsidRPr="005277A3" w:rsidRDefault="0016149B" w:rsidP="00A80FA1">
            <w:pPr>
              <w:jc w:val="center"/>
              <w:rPr>
                <w:sz w:val="20"/>
                <w:szCs w:val="20"/>
              </w:rPr>
            </w:pPr>
            <w:r w:rsidRPr="005277A3">
              <w:rPr>
                <w:sz w:val="20"/>
                <w:szCs w:val="20"/>
              </w:rPr>
              <w:t>28.52</w:t>
            </w:r>
          </w:p>
        </w:tc>
      </w:tr>
      <w:tr w:rsidR="0016149B" w:rsidRPr="005277A3" w:rsidTr="00A80FA1">
        <w:trPr>
          <w:trHeight w:val="20"/>
          <w:jc w:val="center"/>
        </w:trPr>
        <w:tc>
          <w:tcPr>
            <w:tcW w:w="1413" w:type="dxa"/>
            <w:shd w:val="clear" w:color="auto" w:fill="auto"/>
            <w:noWrap/>
            <w:vAlign w:val="center"/>
            <w:hideMark/>
          </w:tcPr>
          <w:p w:rsidR="0016149B" w:rsidRPr="005277A3" w:rsidRDefault="0016149B" w:rsidP="00A80FA1">
            <w:pPr>
              <w:jc w:val="center"/>
              <w:rPr>
                <w:sz w:val="20"/>
                <w:szCs w:val="20"/>
              </w:rPr>
            </w:pPr>
            <w:r w:rsidRPr="005277A3">
              <w:rPr>
                <w:sz w:val="20"/>
                <w:szCs w:val="20"/>
              </w:rPr>
              <w:t>S3</w:t>
            </w:r>
          </w:p>
        </w:tc>
        <w:tc>
          <w:tcPr>
            <w:tcW w:w="1843" w:type="dxa"/>
            <w:shd w:val="clear" w:color="auto" w:fill="auto"/>
            <w:noWrap/>
            <w:vAlign w:val="center"/>
            <w:hideMark/>
          </w:tcPr>
          <w:p w:rsidR="0016149B" w:rsidRPr="005277A3" w:rsidRDefault="0016149B" w:rsidP="00A80FA1">
            <w:pPr>
              <w:jc w:val="center"/>
              <w:rPr>
                <w:sz w:val="20"/>
                <w:szCs w:val="20"/>
              </w:rPr>
            </w:pPr>
            <w:r w:rsidRPr="005277A3">
              <w:rPr>
                <w:sz w:val="20"/>
                <w:szCs w:val="20"/>
              </w:rPr>
              <w:t>24.49</w:t>
            </w:r>
          </w:p>
        </w:tc>
      </w:tr>
      <w:tr w:rsidR="0016149B" w:rsidRPr="005277A3" w:rsidTr="00A80FA1">
        <w:trPr>
          <w:trHeight w:val="20"/>
          <w:jc w:val="center"/>
        </w:trPr>
        <w:tc>
          <w:tcPr>
            <w:tcW w:w="1413" w:type="dxa"/>
            <w:shd w:val="clear" w:color="auto" w:fill="auto"/>
            <w:noWrap/>
            <w:vAlign w:val="center"/>
            <w:hideMark/>
          </w:tcPr>
          <w:p w:rsidR="0016149B" w:rsidRPr="005277A3" w:rsidRDefault="0016149B" w:rsidP="00A80FA1">
            <w:pPr>
              <w:jc w:val="center"/>
              <w:rPr>
                <w:sz w:val="20"/>
                <w:szCs w:val="20"/>
              </w:rPr>
            </w:pPr>
            <w:r w:rsidRPr="005277A3">
              <w:rPr>
                <w:sz w:val="20"/>
                <w:szCs w:val="20"/>
              </w:rPr>
              <w:t>S4</w:t>
            </w:r>
          </w:p>
        </w:tc>
        <w:tc>
          <w:tcPr>
            <w:tcW w:w="1843" w:type="dxa"/>
            <w:shd w:val="clear" w:color="auto" w:fill="auto"/>
            <w:noWrap/>
            <w:vAlign w:val="center"/>
            <w:hideMark/>
          </w:tcPr>
          <w:p w:rsidR="0016149B" w:rsidRPr="005277A3" w:rsidRDefault="0016149B" w:rsidP="00A80FA1">
            <w:pPr>
              <w:jc w:val="center"/>
              <w:rPr>
                <w:sz w:val="20"/>
                <w:szCs w:val="20"/>
              </w:rPr>
            </w:pPr>
            <w:r w:rsidRPr="005277A3">
              <w:rPr>
                <w:sz w:val="20"/>
                <w:szCs w:val="20"/>
              </w:rPr>
              <w:t>29.54</w:t>
            </w:r>
          </w:p>
        </w:tc>
      </w:tr>
      <w:tr w:rsidR="0016149B" w:rsidRPr="005277A3" w:rsidTr="00A80FA1">
        <w:trPr>
          <w:trHeight w:val="20"/>
          <w:jc w:val="center"/>
        </w:trPr>
        <w:tc>
          <w:tcPr>
            <w:tcW w:w="1413"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S5</w:t>
            </w:r>
          </w:p>
        </w:tc>
        <w:tc>
          <w:tcPr>
            <w:tcW w:w="1843" w:type="dxa"/>
            <w:tcBorders>
              <w:bottom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24.36</w:t>
            </w:r>
          </w:p>
        </w:tc>
      </w:tr>
      <w:tr w:rsidR="0016149B" w:rsidRPr="005277A3" w:rsidTr="00A80FA1">
        <w:trPr>
          <w:trHeight w:val="20"/>
          <w:jc w:val="center"/>
        </w:trPr>
        <w:tc>
          <w:tcPr>
            <w:tcW w:w="1413"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BNJ 5%</w:t>
            </w:r>
          </w:p>
        </w:tc>
        <w:tc>
          <w:tcPr>
            <w:tcW w:w="1843" w:type="dxa"/>
            <w:tcBorders>
              <w:top w:val="single" w:sz="4" w:space="0" w:color="auto"/>
            </w:tcBorders>
            <w:shd w:val="clear" w:color="auto" w:fill="auto"/>
            <w:noWrap/>
            <w:vAlign w:val="center"/>
            <w:hideMark/>
          </w:tcPr>
          <w:p w:rsidR="0016149B" w:rsidRPr="005277A3" w:rsidRDefault="0016149B" w:rsidP="00A80FA1">
            <w:pPr>
              <w:jc w:val="center"/>
              <w:rPr>
                <w:sz w:val="20"/>
                <w:szCs w:val="20"/>
              </w:rPr>
            </w:pPr>
            <w:r w:rsidRPr="005277A3">
              <w:rPr>
                <w:sz w:val="20"/>
                <w:szCs w:val="20"/>
              </w:rPr>
              <w:t>TN</w:t>
            </w:r>
          </w:p>
        </w:tc>
      </w:tr>
    </w:tbl>
    <w:p w:rsidR="0016149B" w:rsidRPr="005277A3" w:rsidRDefault="0016149B" w:rsidP="0016149B">
      <w:pPr>
        <w:jc w:val="both"/>
        <w:rPr>
          <w:sz w:val="20"/>
          <w:szCs w:val="20"/>
        </w:rPr>
      </w:pPr>
      <w:r w:rsidRPr="005277A3">
        <w:rPr>
          <w:sz w:val="20"/>
          <w:szCs w:val="20"/>
        </w:rPr>
        <w:t>Keterangan: tidak berbeda nyata (TN)</w:t>
      </w:r>
    </w:p>
    <w:p w:rsidR="0016149B" w:rsidRPr="005277A3" w:rsidRDefault="0016149B" w:rsidP="001A46A1">
      <w:pPr>
        <w:ind w:firstLine="426"/>
        <w:jc w:val="both"/>
        <w:rPr>
          <w:sz w:val="20"/>
          <w:szCs w:val="20"/>
        </w:rPr>
      </w:pPr>
      <w:bookmarkStart w:id="12" w:name="_Hlk64390193"/>
      <w:r w:rsidRPr="005277A3">
        <w:rPr>
          <w:sz w:val="20"/>
          <w:szCs w:val="20"/>
        </w:rPr>
        <w:t xml:space="preserve">Dari hasil uji anova seperti yang ada pada tabel diatas menunjukkan bahwa tidak adanya </w:t>
      </w:r>
      <w:proofErr w:type="spellStart"/>
      <w:r w:rsidR="00193AE1">
        <w:rPr>
          <w:sz w:val="20"/>
          <w:szCs w:val="20"/>
          <w:lang w:val="en-US"/>
        </w:rPr>
        <w:t>respon</w:t>
      </w:r>
      <w:proofErr w:type="spellEnd"/>
      <w:r w:rsidRPr="005277A3">
        <w:rPr>
          <w:sz w:val="20"/>
          <w:szCs w:val="20"/>
        </w:rPr>
        <w:t xml:space="preserve"> pada perlakuan pemberian cekaman salinitas. Dapat diketahui dari tabel tersebut bahwa hasil rerata berat konsumsi sayur terbaik ialah perlakuan S4</w:t>
      </w:r>
      <w:r>
        <w:rPr>
          <w:sz w:val="20"/>
          <w:szCs w:val="20"/>
        </w:rPr>
        <w:t xml:space="preserve"> </w:t>
      </w:r>
      <w:r w:rsidRPr="005277A3">
        <w:rPr>
          <w:sz w:val="20"/>
          <w:szCs w:val="20"/>
        </w:rPr>
        <w:t xml:space="preserve">(salinitas 2500 ppm) dengan angka rata-rata 29,54 gr. Hal tersebut membuktikan bahwa tanaman pakcoy toleran terhadap salinitas tinggi serta mampu tumbuh dengan baik terutama pada berat konsumsi sayur hingga salinitas 3000 ppm. </w:t>
      </w:r>
    </w:p>
    <w:p w:rsidR="0016149B" w:rsidRPr="00871DAC" w:rsidRDefault="0016149B" w:rsidP="001A46A1">
      <w:pPr>
        <w:ind w:firstLine="426"/>
        <w:jc w:val="both"/>
        <w:rPr>
          <w:bCs/>
          <w:sz w:val="20"/>
          <w:szCs w:val="20"/>
        </w:rPr>
      </w:pPr>
      <w:r w:rsidRPr="005277A3">
        <w:rPr>
          <w:sz w:val="20"/>
          <w:szCs w:val="20"/>
        </w:rPr>
        <w:t xml:space="preserve">Hasil dari penelitian ini menunjukkan bahwa hingga konsentrasi pemberian salinitas dengan menggunakan garam NaCl kadar 3.000 ppm, belum menunjukkan adanya </w:t>
      </w:r>
      <w:proofErr w:type="spellStart"/>
      <w:r w:rsidR="00193AE1">
        <w:rPr>
          <w:sz w:val="20"/>
          <w:szCs w:val="20"/>
          <w:lang w:val="en-US"/>
        </w:rPr>
        <w:t>respon</w:t>
      </w:r>
      <w:proofErr w:type="spellEnd"/>
      <w:r w:rsidRPr="005277A3">
        <w:rPr>
          <w:sz w:val="20"/>
          <w:szCs w:val="20"/>
        </w:rPr>
        <w:t xml:space="preserve"> yang nyata pada seluruh parameter yang diamati. Hal tersebut sejalan dengan penelitian yang dilakukan oleh </w:t>
      </w:r>
      <w:r>
        <w:rPr>
          <w:sz w:val="20"/>
          <w:szCs w:val="20"/>
        </w:rPr>
        <w:t>[2]</w:t>
      </w:r>
      <w:r w:rsidRPr="005277A3">
        <w:rPr>
          <w:sz w:val="20"/>
          <w:szCs w:val="20"/>
        </w:rPr>
        <w:t>, bahwa tanaman sawi baru merespon parameter penelitian yang diamati pada kondisi cekaman salinitas garam NaCl pada angka 4.000 ppm. Penelitian tersebut meyebutkan bahwa pemberian konsentrasi garam NaCl hingga kadar 2.000 ppm tidak direspon nyata oleh tanaman sawi pada seluruh paramater yang diamatinya. Parameter yang diamati pada penelitian tersebut ialah berat basah, berat kering, luas daun, dan kandungan klorofil. Parameter tersebut tidak berbeda jauh dengan paramater yang diamati peneliti pada penelitian “Respon Tanaman</w:t>
      </w:r>
      <w:r w:rsidR="00193AE1">
        <w:rPr>
          <w:sz w:val="20"/>
          <w:szCs w:val="20"/>
          <w:lang w:val="en-US"/>
        </w:rPr>
        <w:t xml:space="preserve"> Dan </w:t>
      </w:r>
      <w:proofErr w:type="spellStart"/>
      <w:r w:rsidR="00193AE1">
        <w:rPr>
          <w:sz w:val="20"/>
          <w:szCs w:val="20"/>
          <w:lang w:val="en-US"/>
        </w:rPr>
        <w:t>Produksi</w:t>
      </w:r>
      <w:proofErr w:type="spellEnd"/>
      <w:r w:rsidRPr="005277A3">
        <w:rPr>
          <w:sz w:val="20"/>
          <w:szCs w:val="20"/>
        </w:rPr>
        <w:t xml:space="preserve"> </w:t>
      </w:r>
      <w:r>
        <w:rPr>
          <w:sz w:val="20"/>
          <w:szCs w:val="20"/>
        </w:rPr>
        <w:t>S</w:t>
      </w:r>
      <w:r w:rsidRPr="005277A3">
        <w:rPr>
          <w:sz w:val="20"/>
          <w:szCs w:val="20"/>
        </w:rPr>
        <w:t>awi</w:t>
      </w:r>
      <w:r>
        <w:rPr>
          <w:sz w:val="20"/>
          <w:szCs w:val="20"/>
        </w:rPr>
        <w:t xml:space="preserve"> Pakcoy</w:t>
      </w:r>
      <w:r w:rsidRPr="005277A3">
        <w:rPr>
          <w:sz w:val="20"/>
          <w:szCs w:val="20"/>
        </w:rPr>
        <w:t xml:space="preserve"> </w:t>
      </w:r>
      <w:r>
        <w:rPr>
          <w:sz w:val="20"/>
          <w:szCs w:val="20"/>
        </w:rPr>
        <w:t>(</w:t>
      </w:r>
      <w:r w:rsidRPr="00A76F5C">
        <w:rPr>
          <w:i/>
          <w:iCs/>
          <w:sz w:val="20"/>
          <w:szCs w:val="20"/>
        </w:rPr>
        <w:t>Brassica rapa</w:t>
      </w:r>
      <w:r>
        <w:rPr>
          <w:sz w:val="20"/>
          <w:szCs w:val="20"/>
        </w:rPr>
        <w:t xml:space="preserve"> L.)</w:t>
      </w:r>
      <w:r w:rsidR="00193AE1">
        <w:rPr>
          <w:sz w:val="20"/>
          <w:szCs w:val="20"/>
          <w:lang w:val="en-US"/>
        </w:rPr>
        <w:t xml:space="preserve"> Model</w:t>
      </w:r>
      <w:r>
        <w:rPr>
          <w:sz w:val="20"/>
          <w:szCs w:val="20"/>
        </w:rPr>
        <w:t xml:space="preserve"> Hidroponik Sistem Wick Terhadap Kondisi Cekaman Salinitas”</w:t>
      </w:r>
      <w:r w:rsidRPr="005277A3">
        <w:rPr>
          <w:sz w:val="20"/>
          <w:szCs w:val="20"/>
        </w:rPr>
        <w:t xml:space="preserve"> ini. Keadaan tersebut dikarenakan tanaman sawi belum merespon bahwa dengan keadaan konsentrasi garam NaCl sebesar 3.000 ppm bel</w:t>
      </w:r>
      <w:r w:rsidR="00ED0D2A">
        <w:rPr>
          <w:sz w:val="20"/>
          <w:szCs w:val="20"/>
          <w:lang w:val="en-US"/>
        </w:rPr>
        <w:t>u</w:t>
      </w:r>
      <w:r w:rsidRPr="005277A3">
        <w:rPr>
          <w:sz w:val="20"/>
          <w:szCs w:val="20"/>
        </w:rPr>
        <w:t xml:space="preserve">m tercekam. </w:t>
      </w:r>
    </w:p>
    <w:p w:rsidR="00193AE1" w:rsidRDefault="000B5265" w:rsidP="001A46A1">
      <w:pPr>
        <w:ind w:firstLine="426"/>
        <w:jc w:val="both"/>
        <w:rPr>
          <w:sz w:val="20"/>
          <w:szCs w:val="20"/>
        </w:rPr>
      </w:pPr>
      <w:bookmarkStart w:id="13" w:name="_Hlk64390380"/>
      <w:bookmarkEnd w:id="12"/>
      <w:r w:rsidRPr="005277A3">
        <w:rPr>
          <w:color w:val="000000" w:themeColor="text1"/>
          <w:sz w:val="20"/>
          <w:szCs w:val="20"/>
        </w:rPr>
        <w:t xml:space="preserve">Hasil analisis ragam </w:t>
      </w:r>
      <w:r w:rsidRPr="005277A3">
        <w:rPr>
          <w:sz w:val="20"/>
          <w:szCs w:val="20"/>
        </w:rPr>
        <w:t>menunjukkan bahwa</w:t>
      </w:r>
      <w:r>
        <w:rPr>
          <w:sz w:val="20"/>
          <w:szCs w:val="20"/>
          <w:lang w:val="en-US"/>
        </w:rPr>
        <w:t xml:space="preserve"> </w:t>
      </w:r>
      <w:proofErr w:type="spellStart"/>
      <w:r>
        <w:rPr>
          <w:sz w:val="20"/>
          <w:szCs w:val="20"/>
          <w:lang w:val="en-US"/>
        </w:rPr>
        <w:t>perlakuan</w:t>
      </w:r>
      <w:proofErr w:type="spellEnd"/>
      <w:r>
        <w:rPr>
          <w:sz w:val="20"/>
          <w:szCs w:val="20"/>
          <w:lang w:val="en-US"/>
        </w:rPr>
        <w:t xml:space="preserve"> </w:t>
      </w:r>
      <w:proofErr w:type="spellStart"/>
      <w:r>
        <w:rPr>
          <w:sz w:val="20"/>
          <w:szCs w:val="20"/>
          <w:lang w:val="en-US"/>
        </w:rPr>
        <w:t>pemberian</w:t>
      </w:r>
      <w:proofErr w:type="spellEnd"/>
      <w:r>
        <w:rPr>
          <w:sz w:val="20"/>
          <w:szCs w:val="20"/>
          <w:lang w:val="en-US"/>
        </w:rPr>
        <w:t xml:space="preserve"> </w:t>
      </w:r>
      <w:proofErr w:type="spellStart"/>
      <w:r>
        <w:rPr>
          <w:sz w:val="20"/>
          <w:szCs w:val="20"/>
          <w:lang w:val="en-US"/>
        </w:rPr>
        <w:t>cekaman</w:t>
      </w:r>
      <w:proofErr w:type="spellEnd"/>
      <w:r>
        <w:rPr>
          <w:sz w:val="20"/>
          <w:szCs w:val="20"/>
          <w:lang w:val="en-US"/>
        </w:rPr>
        <w:t xml:space="preserve"> </w:t>
      </w:r>
      <w:proofErr w:type="spellStart"/>
      <w:r>
        <w:rPr>
          <w:sz w:val="20"/>
          <w:szCs w:val="20"/>
          <w:lang w:val="en-US"/>
        </w:rPr>
        <w:t>salinitas</w:t>
      </w:r>
      <w:proofErr w:type="spellEnd"/>
      <w:r>
        <w:rPr>
          <w:sz w:val="20"/>
          <w:szCs w:val="20"/>
          <w:lang w:val="en-US"/>
        </w:rPr>
        <w:t xml:space="preserve"> </w:t>
      </w:r>
      <w:proofErr w:type="spellStart"/>
      <w:r>
        <w:rPr>
          <w:sz w:val="20"/>
          <w:szCs w:val="20"/>
          <w:lang w:val="en-US"/>
        </w:rPr>
        <w:t>tidak</w:t>
      </w:r>
      <w:proofErr w:type="spellEnd"/>
      <w:r>
        <w:rPr>
          <w:sz w:val="20"/>
          <w:szCs w:val="20"/>
          <w:lang w:val="en-US"/>
        </w:rPr>
        <w:t xml:space="preserve"> </w:t>
      </w:r>
      <w:proofErr w:type="spellStart"/>
      <w:r>
        <w:rPr>
          <w:sz w:val="20"/>
          <w:szCs w:val="20"/>
          <w:lang w:val="en-US"/>
        </w:rPr>
        <w:t>memberikan</w:t>
      </w:r>
      <w:proofErr w:type="spellEnd"/>
      <w:r>
        <w:rPr>
          <w:sz w:val="20"/>
          <w:szCs w:val="20"/>
          <w:lang w:val="en-US"/>
        </w:rPr>
        <w:t xml:space="preserve"> </w:t>
      </w:r>
      <w:proofErr w:type="spellStart"/>
      <w:r>
        <w:rPr>
          <w:sz w:val="20"/>
          <w:szCs w:val="20"/>
          <w:lang w:val="en-US"/>
        </w:rPr>
        <w:t>respon</w:t>
      </w:r>
      <w:proofErr w:type="spellEnd"/>
      <w:r>
        <w:rPr>
          <w:sz w:val="20"/>
          <w:szCs w:val="20"/>
          <w:lang w:val="en-US"/>
        </w:rPr>
        <w:t xml:space="preserve"> yang </w:t>
      </w:r>
      <w:proofErr w:type="spellStart"/>
      <w:r>
        <w:rPr>
          <w:sz w:val="20"/>
          <w:szCs w:val="20"/>
          <w:lang w:val="en-US"/>
        </w:rPr>
        <w:t>nyata</w:t>
      </w:r>
      <w:proofErr w:type="spellEnd"/>
      <w:r>
        <w:rPr>
          <w:sz w:val="20"/>
          <w:szCs w:val="20"/>
          <w:lang w:val="en-US"/>
        </w:rPr>
        <w:t xml:space="preserve"> </w:t>
      </w:r>
      <w:proofErr w:type="spellStart"/>
      <w:r>
        <w:rPr>
          <w:sz w:val="20"/>
          <w:szCs w:val="20"/>
          <w:lang w:val="en-US"/>
        </w:rPr>
        <w:t>terhadap</w:t>
      </w:r>
      <w:proofErr w:type="spellEnd"/>
      <w:r>
        <w:rPr>
          <w:sz w:val="20"/>
          <w:szCs w:val="20"/>
          <w:lang w:val="en-US"/>
        </w:rPr>
        <w:t xml:space="preserve"> variable </w:t>
      </w:r>
      <w:proofErr w:type="spellStart"/>
      <w:r>
        <w:rPr>
          <w:sz w:val="20"/>
          <w:szCs w:val="20"/>
          <w:lang w:val="en-US"/>
        </w:rPr>
        <w:t>pengamatan</w:t>
      </w:r>
      <w:proofErr w:type="spellEnd"/>
      <w:r>
        <w:rPr>
          <w:sz w:val="20"/>
          <w:szCs w:val="20"/>
          <w:lang w:val="en-US"/>
        </w:rPr>
        <w:t xml:space="preserve"> </w:t>
      </w:r>
      <w:proofErr w:type="spellStart"/>
      <w:r>
        <w:rPr>
          <w:sz w:val="20"/>
          <w:szCs w:val="20"/>
          <w:lang w:val="en-US"/>
        </w:rPr>
        <w:t>uji</w:t>
      </w:r>
      <w:proofErr w:type="spellEnd"/>
      <w:r>
        <w:rPr>
          <w:sz w:val="20"/>
          <w:szCs w:val="20"/>
          <w:lang w:val="en-US"/>
        </w:rPr>
        <w:t xml:space="preserve"> </w:t>
      </w:r>
      <w:proofErr w:type="spellStart"/>
      <w:r>
        <w:rPr>
          <w:sz w:val="20"/>
          <w:szCs w:val="20"/>
          <w:lang w:val="en-US"/>
        </w:rPr>
        <w:t>klorofil</w:t>
      </w:r>
      <w:proofErr w:type="spellEnd"/>
      <w:r>
        <w:rPr>
          <w:sz w:val="20"/>
          <w:szCs w:val="20"/>
          <w:lang w:val="en-US"/>
        </w:rPr>
        <w:t xml:space="preserve"> </w:t>
      </w:r>
      <w:proofErr w:type="spellStart"/>
      <w:r>
        <w:rPr>
          <w:sz w:val="20"/>
          <w:szCs w:val="20"/>
          <w:lang w:val="en-US"/>
        </w:rPr>
        <w:t>Panjang</w:t>
      </w:r>
      <w:proofErr w:type="spellEnd"/>
      <w:r>
        <w:rPr>
          <w:sz w:val="20"/>
          <w:szCs w:val="20"/>
          <w:lang w:val="en-US"/>
        </w:rPr>
        <w:t xml:space="preserve"> </w:t>
      </w:r>
      <w:proofErr w:type="spellStart"/>
      <w:r>
        <w:rPr>
          <w:sz w:val="20"/>
          <w:szCs w:val="20"/>
          <w:lang w:val="en-US"/>
        </w:rPr>
        <w:t>gelombang</w:t>
      </w:r>
      <w:proofErr w:type="spellEnd"/>
      <w:r>
        <w:rPr>
          <w:sz w:val="20"/>
          <w:szCs w:val="20"/>
          <w:lang w:val="en-US"/>
        </w:rPr>
        <w:t xml:space="preserve"> 649 </w:t>
      </w:r>
      <w:proofErr w:type="spellStart"/>
      <w:r>
        <w:rPr>
          <w:sz w:val="20"/>
          <w:szCs w:val="20"/>
          <w:lang w:val="en-US"/>
        </w:rPr>
        <w:t>dan</w:t>
      </w:r>
      <w:proofErr w:type="spellEnd"/>
      <w:r>
        <w:rPr>
          <w:sz w:val="20"/>
          <w:szCs w:val="20"/>
          <w:lang w:val="en-US"/>
        </w:rPr>
        <w:t xml:space="preserve"> 665 </w:t>
      </w:r>
      <w:proofErr w:type="spellStart"/>
      <w:r>
        <w:rPr>
          <w:sz w:val="20"/>
          <w:szCs w:val="20"/>
          <w:lang w:val="en-US"/>
        </w:rPr>
        <w:t>pada</w:t>
      </w:r>
      <w:proofErr w:type="spellEnd"/>
      <w:r>
        <w:rPr>
          <w:sz w:val="20"/>
          <w:szCs w:val="20"/>
          <w:lang w:val="en-US"/>
        </w:rPr>
        <w:t xml:space="preserve"> </w:t>
      </w:r>
      <w:proofErr w:type="spellStart"/>
      <w:r>
        <w:rPr>
          <w:sz w:val="20"/>
          <w:szCs w:val="20"/>
          <w:lang w:val="en-US"/>
        </w:rPr>
        <w:t>semua</w:t>
      </w:r>
      <w:proofErr w:type="spellEnd"/>
      <w:r>
        <w:rPr>
          <w:sz w:val="20"/>
          <w:szCs w:val="20"/>
          <w:lang w:val="en-US"/>
        </w:rPr>
        <w:t xml:space="preserve"> </w:t>
      </w:r>
      <w:proofErr w:type="spellStart"/>
      <w:r>
        <w:rPr>
          <w:sz w:val="20"/>
          <w:szCs w:val="20"/>
          <w:lang w:val="en-US"/>
        </w:rPr>
        <w:t>umur</w:t>
      </w:r>
      <w:proofErr w:type="spellEnd"/>
      <w:r>
        <w:rPr>
          <w:sz w:val="20"/>
          <w:szCs w:val="20"/>
          <w:lang w:val="en-US"/>
        </w:rPr>
        <w:t xml:space="preserve"> </w:t>
      </w:r>
      <w:proofErr w:type="spellStart"/>
      <w:r>
        <w:rPr>
          <w:sz w:val="20"/>
          <w:szCs w:val="20"/>
          <w:lang w:val="en-US"/>
        </w:rPr>
        <w:t>pengamatan</w:t>
      </w:r>
      <w:proofErr w:type="spellEnd"/>
      <w:r w:rsidRPr="005277A3">
        <w:rPr>
          <w:sz w:val="20"/>
          <w:szCs w:val="20"/>
        </w:rPr>
        <w:t xml:space="preserve"> </w:t>
      </w:r>
      <w:r>
        <w:rPr>
          <w:sz w:val="20"/>
          <w:szCs w:val="20"/>
          <w:lang w:val="en-US"/>
        </w:rPr>
        <w:t xml:space="preserve">(12, 24, </w:t>
      </w:r>
      <w:proofErr w:type="spellStart"/>
      <w:r>
        <w:rPr>
          <w:sz w:val="20"/>
          <w:szCs w:val="20"/>
          <w:lang w:val="en-US"/>
        </w:rPr>
        <w:t>dan</w:t>
      </w:r>
      <w:proofErr w:type="spellEnd"/>
      <w:r>
        <w:rPr>
          <w:sz w:val="20"/>
          <w:szCs w:val="20"/>
          <w:lang w:val="en-US"/>
        </w:rPr>
        <w:t xml:space="preserve"> 36 </w:t>
      </w:r>
      <w:proofErr w:type="spellStart"/>
      <w:r>
        <w:rPr>
          <w:sz w:val="20"/>
          <w:szCs w:val="20"/>
          <w:lang w:val="en-US"/>
        </w:rPr>
        <w:t>hst</w:t>
      </w:r>
      <w:proofErr w:type="spellEnd"/>
      <w:r>
        <w:rPr>
          <w:sz w:val="20"/>
          <w:szCs w:val="20"/>
          <w:lang w:val="en-US"/>
        </w:rPr>
        <w:t xml:space="preserve">) </w:t>
      </w:r>
      <w:r w:rsidRPr="005277A3">
        <w:rPr>
          <w:sz w:val="20"/>
          <w:szCs w:val="20"/>
        </w:rPr>
        <w:t xml:space="preserve">(lampiran </w:t>
      </w:r>
      <w:r>
        <w:rPr>
          <w:sz w:val="20"/>
          <w:szCs w:val="20"/>
          <w:lang w:val="en-US"/>
        </w:rPr>
        <w:t>7</w:t>
      </w:r>
      <w:r w:rsidRPr="005277A3">
        <w:rPr>
          <w:sz w:val="20"/>
          <w:szCs w:val="20"/>
        </w:rPr>
        <w:t xml:space="preserve">). Data hasil analisis dapat dilihat pada tabel </w:t>
      </w:r>
      <w:r>
        <w:rPr>
          <w:sz w:val="20"/>
          <w:szCs w:val="20"/>
          <w:lang w:val="en-US"/>
        </w:rPr>
        <w:t>7</w:t>
      </w:r>
      <w:r w:rsidRPr="005277A3">
        <w:rPr>
          <w:sz w:val="20"/>
          <w:szCs w:val="20"/>
        </w:rPr>
        <w:t>.</w:t>
      </w:r>
      <w:bookmarkEnd w:id="13"/>
    </w:p>
    <w:p w:rsidR="001A46A1" w:rsidRDefault="001A46A1">
      <w:pPr>
        <w:suppressAutoHyphens w:val="0"/>
        <w:rPr>
          <w:sz w:val="20"/>
          <w:szCs w:val="20"/>
          <w:lang w:val="en-US"/>
        </w:rPr>
      </w:pPr>
      <w:r>
        <w:rPr>
          <w:sz w:val="20"/>
          <w:szCs w:val="20"/>
          <w:lang w:val="en-US"/>
        </w:rPr>
        <w:br w:type="page"/>
      </w:r>
    </w:p>
    <w:p w:rsidR="0016149B" w:rsidRPr="005277A3" w:rsidRDefault="0016149B" w:rsidP="001A46A1">
      <w:pPr>
        <w:ind w:firstLine="426"/>
        <w:jc w:val="both"/>
        <w:rPr>
          <w:sz w:val="20"/>
          <w:szCs w:val="20"/>
        </w:rPr>
      </w:pPr>
      <w:r w:rsidRPr="005277A3">
        <w:rPr>
          <w:sz w:val="20"/>
          <w:szCs w:val="20"/>
        </w:rPr>
        <w:lastRenderedPageBreak/>
        <w:t xml:space="preserve">Tabel 7. Rata-rata uji </w:t>
      </w:r>
      <w:r w:rsidR="00193AE1" w:rsidRPr="005277A3">
        <w:rPr>
          <w:sz w:val="20"/>
          <w:szCs w:val="20"/>
        </w:rPr>
        <w:t xml:space="preserve">klorofil sawi pakcoy </w:t>
      </w:r>
      <w:r w:rsidRPr="005277A3">
        <w:rPr>
          <w:sz w:val="20"/>
          <w:szCs w:val="20"/>
        </w:rPr>
        <w:t>(</w:t>
      </w:r>
      <w:r w:rsidRPr="005277A3">
        <w:rPr>
          <w:i/>
          <w:iCs/>
          <w:sz w:val="20"/>
          <w:szCs w:val="20"/>
        </w:rPr>
        <w:t xml:space="preserve">Brassica rapa </w:t>
      </w:r>
      <w:r w:rsidRPr="005277A3">
        <w:rPr>
          <w:sz w:val="20"/>
          <w:szCs w:val="20"/>
        </w:rPr>
        <w:t>L.) terhadap kondisi cekaman salinitas</w:t>
      </w:r>
    </w:p>
    <w:tbl>
      <w:tblPr>
        <w:tblW w:w="6098" w:type="dxa"/>
        <w:jc w:val="center"/>
        <w:tblBorders>
          <w:top w:val="single" w:sz="4" w:space="0" w:color="auto"/>
          <w:bottom w:val="single" w:sz="4" w:space="0" w:color="auto"/>
        </w:tblBorders>
        <w:tblLook w:val="04A0" w:firstRow="1" w:lastRow="0" w:firstColumn="1" w:lastColumn="0" w:noHBand="0" w:noVBand="1"/>
      </w:tblPr>
      <w:tblGrid>
        <w:gridCol w:w="1670"/>
        <w:gridCol w:w="1476"/>
        <w:gridCol w:w="1476"/>
        <w:gridCol w:w="1476"/>
      </w:tblGrid>
      <w:tr w:rsidR="0016149B" w:rsidRPr="005277A3" w:rsidTr="00A80FA1">
        <w:trPr>
          <w:trHeight w:val="290"/>
          <w:jc w:val="center"/>
        </w:trPr>
        <w:tc>
          <w:tcPr>
            <w:tcW w:w="1670" w:type="dxa"/>
            <w:vMerge w:val="restart"/>
            <w:vAlign w:val="center"/>
          </w:tcPr>
          <w:p w:rsidR="0016149B" w:rsidRPr="005277A3" w:rsidRDefault="0016149B" w:rsidP="00A80FA1">
            <w:pPr>
              <w:jc w:val="center"/>
              <w:rPr>
                <w:color w:val="000000"/>
                <w:sz w:val="20"/>
                <w:szCs w:val="20"/>
              </w:rPr>
            </w:pPr>
            <w:r w:rsidRPr="005277A3">
              <w:rPr>
                <w:color w:val="000000"/>
                <w:sz w:val="20"/>
                <w:szCs w:val="20"/>
              </w:rPr>
              <w:t>PERLAKUAN</w:t>
            </w:r>
          </w:p>
        </w:tc>
        <w:tc>
          <w:tcPr>
            <w:tcW w:w="4428" w:type="dxa"/>
            <w:gridSpan w:val="3"/>
            <w:shd w:val="clear" w:color="auto" w:fill="auto"/>
            <w:noWrap/>
            <w:vAlign w:val="center"/>
          </w:tcPr>
          <w:p w:rsidR="0016149B" w:rsidRPr="005277A3" w:rsidRDefault="0016149B" w:rsidP="00A80FA1">
            <w:pPr>
              <w:jc w:val="center"/>
              <w:rPr>
                <w:color w:val="000000"/>
                <w:sz w:val="20"/>
                <w:szCs w:val="20"/>
              </w:rPr>
            </w:pPr>
            <w:r w:rsidRPr="005277A3">
              <w:rPr>
                <w:color w:val="000000"/>
                <w:sz w:val="20"/>
                <w:szCs w:val="20"/>
              </w:rPr>
              <w:t>KLOROFIL</w:t>
            </w:r>
          </w:p>
        </w:tc>
      </w:tr>
      <w:tr w:rsidR="0016149B" w:rsidRPr="005277A3" w:rsidTr="00A80FA1">
        <w:trPr>
          <w:trHeight w:val="290"/>
          <w:jc w:val="center"/>
        </w:trPr>
        <w:tc>
          <w:tcPr>
            <w:tcW w:w="1670" w:type="dxa"/>
            <w:vMerge/>
            <w:vAlign w:val="center"/>
          </w:tcPr>
          <w:p w:rsidR="0016149B" w:rsidRPr="005277A3" w:rsidRDefault="0016149B" w:rsidP="00A80FA1">
            <w:pPr>
              <w:jc w:val="center"/>
              <w:rPr>
                <w:color w:val="000000"/>
                <w:sz w:val="20"/>
                <w:szCs w:val="20"/>
              </w:rPr>
            </w:pPr>
          </w:p>
        </w:tc>
        <w:tc>
          <w:tcPr>
            <w:tcW w:w="1476" w:type="dxa"/>
            <w:shd w:val="clear" w:color="auto" w:fill="auto"/>
            <w:noWrap/>
            <w:vAlign w:val="center"/>
          </w:tcPr>
          <w:p w:rsidR="0016149B" w:rsidRPr="005277A3" w:rsidRDefault="0016149B" w:rsidP="00A80FA1">
            <w:pPr>
              <w:jc w:val="center"/>
              <w:rPr>
                <w:color w:val="000000"/>
                <w:sz w:val="20"/>
                <w:szCs w:val="20"/>
              </w:rPr>
            </w:pPr>
            <w:r w:rsidRPr="005277A3">
              <w:rPr>
                <w:color w:val="000000"/>
                <w:sz w:val="20"/>
                <w:szCs w:val="20"/>
              </w:rPr>
              <w:t>A</w:t>
            </w:r>
          </w:p>
        </w:tc>
        <w:tc>
          <w:tcPr>
            <w:tcW w:w="1476" w:type="dxa"/>
            <w:shd w:val="clear" w:color="auto" w:fill="auto"/>
            <w:noWrap/>
            <w:vAlign w:val="center"/>
          </w:tcPr>
          <w:p w:rsidR="0016149B" w:rsidRPr="005277A3" w:rsidRDefault="0016149B" w:rsidP="00A80FA1">
            <w:pPr>
              <w:jc w:val="center"/>
              <w:rPr>
                <w:color w:val="000000"/>
                <w:sz w:val="20"/>
                <w:szCs w:val="20"/>
              </w:rPr>
            </w:pPr>
            <w:r w:rsidRPr="005277A3">
              <w:rPr>
                <w:color w:val="000000"/>
                <w:sz w:val="20"/>
                <w:szCs w:val="20"/>
              </w:rPr>
              <w:t>B</w:t>
            </w:r>
          </w:p>
        </w:tc>
        <w:tc>
          <w:tcPr>
            <w:tcW w:w="1476" w:type="dxa"/>
            <w:shd w:val="clear" w:color="auto" w:fill="auto"/>
            <w:noWrap/>
            <w:vAlign w:val="center"/>
          </w:tcPr>
          <w:p w:rsidR="0016149B" w:rsidRPr="005277A3" w:rsidRDefault="0016149B" w:rsidP="00A80FA1">
            <w:pPr>
              <w:jc w:val="center"/>
              <w:rPr>
                <w:color w:val="000000"/>
                <w:sz w:val="20"/>
                <w:szCs w:val="20"/>
              </w:rPr>
            </w:pPr>
            <w:r w:rsidRPr="005277A3">
              <w:rPr>
                <w:color w:val="000000"/>
                <w:sz w:val="20"/>
                <w:szCs w:val="20"/>
              </w:rPr>
              <w:t>TOTAL</w:t>
            </w:r>
          </w:p>
        </w:tc>
      </w:tr>
      <w:tr w:rsidR="0016149B" w:rsidRPr="005277A3" w:rsidTr="00A80FA1">
        <w:trPr>
          <w:trHeight w:val="290"/>
          <w:jc w:val="center"/>
        </w:trPr>
        <w:tc>
          <w:tcPr>
            <w:tcW w:w="1670" w:type="dxa"/>
            <w:vAlign w:val="center"/>
          </w:tcPr>
          <w:p w:rsidR="0016149B" w:rsidRPr="005277A3" w:rsidRDefault="0016149B" w:rsidP="00A80FA1">
            <w:pPr>
              <w:jc w:val="center"/>
              <w:rPr>
                <w:color w:val="000000"/>
                <w:sz w:val="20"/>
                <w:szCs w:val="20"/>
              </w:rPr>
            </w:pPr>
            <w:r w:rsidRPr="005277A3">
              <w:rPr>
                <w:b/>
                <w:bCs/>
                <w:color w:val="000000"/>
                <w:sz w:val="20"/>
                <w:szCs w:val="20"/>
              </w:rPr>
              <w:t>S0</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14.537</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5.408</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19.921</w:t>
            </w:r>
          </w:p>
        </w:tc>
      </w:tr>
      <w:tr w:rsidR="0016149B" w:rsidRPr="005277A3" w:rsidTr="00A80FA1">
        <w:trPr>
          <w:trHeight w:val="290"/>
          <w:jc w:val="center"/>
        </w:trPr>
        <w:tc>
          <w:tcPr>
            <w:tcW w:w="1670" w:type="dxa"/>
            <w:vAlign w:val="center"/>
          </w:tcPr>
          <w:p w:rsidR="0016149B" w:rsidRPr="005277A3" w:rsidRDefault="0016149B" w:rsidP="00A80FA1">
            <w:pPr>
              <w:jc w:val="center"/>
              <w:rPr>
                <w:color w:val="000000"/>
                <w:sz w:val="20"/>
                <w:szCs w:val="20"/>
              </w:rPr>
            </w:pPr>
            <w:r w:rsidRPr="005277A3">
              <w:rPr>
                <w:b/>
                <w:bCs/>
                <w:color w:val="000000"/>
                <w:sz w:val="20"/>
                <w:szCs w:val="20"/>
              </w:rPr>
              <w:t>S1</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14.571</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5.472</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20.019</w:t>
            </w:r>
          </w:p>
        </w:tc>
      </w:tr>
      <w:tr w:rsidR="0016149B" w:rsidRPr="005277A3" w:rsidTr="00A80FA1">
        <w:trPr>
          <w:trHeight w:val="290"/>
          <w:jc w:val="center"/>
        </w:trPr>
        <w:tc>
          <w:tcPr>
            <w:tcW w:w="1670" w:type="dxa"/>
            <w:vAlign w:val="center"/>
          </w:tcPr>
          <w:p w:rsidR="0016149B" w:rsidRPr="005277A3" w:rsidRDefault="0016149B" w:rsidP="00A80FA1">
            <w:pPr>
              <w:jc w:val="center"/>
              <w:rPr>
                <w:color w:val="000000"/>
                <w:sz w:val="20"/>
                <w:szCs w:val="20"/>
              </w:rPr>
            </w:pPr>
            <w:r w:rsidRPr="005277A3">
              <w:rPr>
                <w:b/>
                <w:bCs/>
                <w:color w:val="000000"/>
                <w:sz w:val="20"/>
                <w:szCs w:val="20"/>
              </w:rPr>
              <w:t>S2</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16.538</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6.641</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23.151</w:t>
            </w:r>
          </w:p>
        </w:tc>
      </w:tr>
      <w:tr w:rsidR="0016149B" w:rsidRPr="005277A3" w:rsidTr="00A80FA1">
        <w:trPr>
          <w:trHeight w:val="290"/>
          <w:jc w:val="center"/>
        </w:trPr>
        <w:tc>
          <w:tcPr>
            <w:tcW w:w="1670" w:type="dxa"/>
            <w:vAlign w:val="center"/>
          </w:tcPr>
          <w:p w:rsidR="0016149B" w:rsidRPr="005277A3" w:rsidRDefault="0016149B" w:rsidP="00A80FA1">
            <w:pPr>
              <w:jc w:val="center"/>
              <w:rPr>
                <w:color w:val="000000"/>
                <w:sz w:val="20"/>
                <w:szCs w:val="20"/>
              </w:rPr>
            </w:pPr>
            <w:r w:rsidRPr="005277A3">
              <w:rPr>
                <w:b/>
                <w:bCs/>
                <w:color w:val="000000"/>
                <w:sz w:val="20"/>
                <w:szCs w:val="20"/>
              </w:rPr>
              <w:t>S3</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15.873</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4.637</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20.486</w:t>
            </w:r>
          </w:p>
        </w:tc>
      </w:tr>
      <w:tr w:rsidR="0016149B" w:rsidRPr="005277A3" w:rsidTr="00A80FA1">
        <w:trPr>
          <w:trHeight w:val="290"/>
          <w:jc w:val="center"/>
        </w:trPr>
        <w:tc>
          <w:tcPr>
            <w:tcW w:w="1670" w:type="dxa"/>
            <w:vAlign w:val="center"/>
          </w:tcPr>
          <w:p w:rsidR="0016149B" w:rsidRPr="005277A3" w:rsidRDefault="0016149B" w:rsidP="00A80FA1">
            <w:pPr>
              <w:jc w:val="center"/>
              <w:rPr>
                <w:color w:val="000000"/>
                <w:sz w:val="20"/>
                <w:szCs w:val="20"/>
              </w:rPr>
            </w:pPr>
            <w:r w:rsidRPr="005277A3">
              <w:rPr>
                <w:b/>
                <w:bCs/>
                <w:color w:val="000000"/>
                <w:sz w:val="20"/>
                <w:szCs w:val="20"/>
              </w:rPr>
              <w:t>S4</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14.887</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5.666</w:t>
            </w:r>
          </w:p>
        </w:tc>
        <w:tc>
          <w:tcPr>
            <w:tcW w:w="1476" w:type="dxa"/>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20.529</w:t>
            </w:r>
          </w:p>
        </w:tc>
      </w:tr>
      <w:tr w:rsidR="0016149B" w:rsidRPr="005277A3" w:rsidTr="00A80FA1">
        <w:trPr>
          <w:trHeight w:val="290"/>
          <w:jc w:val="center"/>
        </w:trPr>
        <w:tc>
          <w:tcPr>
            <w:tcW w:w="1670" w:type="dxa"/>
            <w:tcBorders>
              <w:bottom w:val="single" w:sz="4" w:space="0" w:color="auto"/>
            </w:tcBorders>
            <w:vAlign w:val="center"/>
          </w:tcPr>
          <w:p w:rsidR="0016149B" w:rsidRPr="005277A3" w:rsidRDefault="0016149B" w:rsidP="00A80FA1">
            <w:pPr>
              <w:jc w:val="center"/>
              <w:rPr>
                <w:color w:val="000000"/>
                <w:sz w:val="20"/>
                <w:szCs w:val="20"/>
              </w:rPr>
            </w:pPr>
            <w:r w:rsidRPr="005277A3">
              <w:rPr>
                <w:b/>
                <w:bCs/>
                <w:color w:val="000000"/>
                <w:sz w:val="20"/>
                <w:szCs w:val="20"/>
              </w:rPr>
              <w:t>S5</w:t>
            </w:r>
          </w:p>
        </w:tc>
        <w:tc>
          <w:tcPr>
            <w:tcW w:w="1476" w:type="dxa"/>
            <w:tcBorders>
              <w:bottom w:val="single" w:sz="4" w:space="0" w:color="auto"/>
            </w:tcBorders>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12.650</w:t>
            </w:r>
          </w:p>
        </w:tc>
        <w:tc>
          <w:tcPr>
            <w:tcW w:w="1476" w:type="dxa"/>
            <w:tcBorders>
              <w:bottom w:val="single" w:sz="4" w:space="0" w:color="auto"/>
            </w:tcBorders>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4.684</w:t>
            </w:r>
          </w:p>
        </w:tc>
        <w:tc>
          <w:tcPr>
            <w:tcW w:w="1476" w:type="dxa"/>
            <w:tcBorders>
              <w:bottom w:val="single" w:sz="4" w:space="0" w:color="auto"/>
            </w:tcBorders>
            <w:shd w:val="clear" w:color="auto" w:fill="auto"/>
            <w:noWrap/>
            <w:vAlign w:val="center"/>
            <w:hideMark/>
          </w:tcPr>
          <w:p w:rsidR="0016149B" w:rsidRPr="005277A3" w:rsidRDefault="0016149B" w:rsidP="00A80FA1">
            <w:pPr>
              <w:jc w:val="center"/>
              <w:rPr>
                <w:color w:val="000000"/>
                <w:sz w:val="20"/>
                <w:szCs w:val="20"/>
              </w:rPr>
            </w:pPr>
            <w:r w:rsidRPr="005277A3">
              <w:rPr>
                <w:color w:val="000000"/>
                <w:sz w:val="20"/>
                <w:szCs w:val="20"/>
              </w:rPr>
              <w:t>17.313</w:t>
            </w:r>
          </w:p>
        </w:tc>
      </w:tr>
      <w:tr w:rsidR="0016149B" w:rsidRPr="005277A3" w:rsidTr="00A80FA1">
        <w:trPr>
          <w:trHeight w:val="290"/>
          <w:jc w:val="center"/>
        </w:trPr>
        <w:tc>
          <w:tcPr>
            <w:tcW w:w="1670" w:type="dxa"/>
            <w:tcBorders>
              <w:top w:val="single" w:sz="4" w:space="0" w:color="auto"/>
              <w:bottom w:val="single" w:sz="4" w:space="0" w:color="auto"/>
            </w:tcBorders>
            <w:vAlign w:val="center"/>
          </w:tcPr>
          <w:p w:rsidR="0016149B" w:rsidRPr="005277A3" w:rsidRDefault="0016149B" w:rsidP="00A80FA1">
            <w:pPr>
              <w:jc w:val="center"/>
              <w:rPr>
                <w:b/>
                <w:bCs/>
                <w:color w:val="000000"/>
                <w:sz w:val="20"/>
                <w:szCs w:val="20"/>
              </w:rPr>
            </w:pPr>
            <w:r w:rsidRPr="005277A3">
              <w:rPr>
                <w:b/>
                <w:bCs/>
                <w:color w:val="000000"/>
                <w:sz w:val="20"/>
                <w:szCs w:val="20"/>
              </w:rPr>
              <w:t>BNJ 5%</w:t>
            </w:r>
          </w:p>
        </w:tc>
        <w:tc>
          <w:tcPr>
            <w:tcW w:w="1476" w:type="dxa"/>
            <w:tcBorders>
              <w:top w:val="single" w:sz="4" w:space="0" w:color="auto"/>
              <w:bottom w:val="single" w:sz="4" w:space="0" w:color="auto"/>
            </w:tcBorders>
            <w:shd w:val="clear" w:color="auto" w:fill="auto"/>
            <w:noWrap/>
            <w:vAlign w:val="center"/>
          </w:tcPr>
          <w:p w:rsidR="0016149B" w:rsidRPr="005277A3" w:rsidRDefault="0016149B" w:rsidP="00A80FA1">
            <w:pPr>
              <w:jc w:val="center"/>
              <w:rPr>
                <w:color w:val="000000"/>
                <w:sz w:val="20"/>
                <w:szCs w:val="20"/>
              </w:rPr>
            </w:pPr>
            <w:r w:rsidRPr="005277A3">
              <w:rPr>
                <w:color w:val="000000"/>
                <w:sz w:val="20"/>
                <w:szCs w:val="20"/>
              </w:rPr>
              <w:t>TN</w:t>
            </w:r>
          </w:p>
        </w:tc>
        <w:tc>
          <w:tcPr>
            <w:tcW w:w="1476" w:type="dxa"/>
            <w:tcBorders>
              <w:top w:val="single" w:sz="4" w:space="0" w:color="auto"/>
              <w:bottom w:val="single" w:sz="4" w:space="0" w:color="auto"/>
            </w:tcBorders>
            <w:shd w:val="clear" w:color="auto" w:fill="auto"/>
            <w:noWrap/>
            <w:vAlign w:val="center"/>
          </w:tcPr>
          <w:p w:rsidR="0016149B" w:rsidRPr="005277A3" w:rsidRDefault="0016149B" w:rsidP="00A80FA1">
            <w:pPr>
              <w:jc w:val="center"/>
              <w:rPr>
                <w:color w:val="000000"/>
                <w:sz w:val="20"/>
                <w:szCs w:val="20"/>
              </w:rPr>
            </w:pPr>
            <w:r w:rsidRPr="005277A3">
              <w:rPr>
                <w:color w:val="000000"/>
                <w:sz w:val="20"/>
                <w:szCs w:val="20"/>
              </w:rPr>
              <w:t>TN</w:t>
            </w:r>
          </w:p>
        </w:tc>
        <w:tc>
          <w:tcPr>
            <w:tcW w:w="1476" w:type="dxa"/>
            <w:tcBorders>
              <w:top w:val="single" w:sz="4" w:space="0" w:color="auto"/>
              <w:bottom w:val="single" w:sz="4" w:space="0" w:color="auto"/>
            </w:tcBorders>
            <w:shd w:val="clear" w:color="auto" w:fill="auto"/>
            <w:noWrap/>
            <w:vAlign w:val="center"/>
          </w:tcPr>
          <w:p w:rsidR="0016149B" w:rsidRPr="005277A3" w:rsidRDefault="0016149B" w:rsidP="00A80FA1">
            <w:pPr>
              <w:jc w:val="center"/>
              <w:rPr>
                <w:color w:val="000000"/>
                <w:sz w:val="20"/>
                <w:szCs w:val="20"/>
              </w:rPr>
            </w:pPr>
            <w:r w:rsidRPr="005277A3">
              <w:rPr>
                <w:color w:val="000000"/>
                <w:sz w:val="20"/>
                <w:szCs w:val="20"/>
              </w:rPr>
              <w:t>TN</w:t>
            </w:r>
          </w:p>
        </w:tc>
      </w:tr>
    </w:tbl>
    <w:p w:rsidR="0016149B" w:rsidRPr="005277A3" w:rsidRDefault="0016149B" w:rsidP="0016149B">
      <w:pPr>
        <w:jc w:val="both"/>
        <w:rPr>
          <w:sz w:val="20"/>
          <w:szCs w:val="20"/>
        </w:rPr>
      </w:pPr>
      <w:r w:rsidRPr="005277A3">
        <w:rPr>
          <w:sz w:val="20"/>
          <w:szCs w:val="20"/>
        </w:rPr>
        <w:t>Keterangan: tidak berbeda nyata (TN)</w:t>
      </w:r>
    </w:p>
    <w:p w:rsidR="0016149B" w:rsidRPr="005277A3" w:rsidRDefault="0016149B" w:rsidP="001A46A1">
      <w:pPr>
        <w:ind w:firstLine="426"/>
        <w:jc w:val="both"/>
        <w:rPr>
          <w:sz w:val="20"/>
          <w:szCs w:val="20"/>
        </w:rPr>
      </w:pPr>
      <w:bookmarkStart w:id="14" w:name="_Hlk64390415"/>
      <w:r w:rsidRPr="005277A3">
        <w:rPr>
          <w:sz w:val="20"/>
          <w:szCs w:val="20"/>
        </w:rPr>
        <w:t xml:space="preserve">Dari hasil uji anova seperti yang ada pada tabel diatas menunjukkan bahwa tidak adanya </w:t>
      </w:r>
      <w:proofErr w:type="spellStart"/>
      <w:r w:rsidR="00193AE1">
        <w:rPr>
          <w:sz w:val="20"/>
          <w:szCs w:val="20"/>
          <w:lang w:val="en-US"/>
        </w:rPr>
        <w:t>respon</w:t>
      </w:r>
      <w:proofErr w:type="spellEnd"/>
      <w:r w:rsidRPr="005277A3">
        <w:rPr>
          <w:sz w:val="20"/>
          <w:szCs w:val="20"/>
        </w:rPr>
        <w:t xml:space="preserve"> pada perlakuan pemberian cekaman salinitas. Dapat diketahui dari tabel tersebut bahwa hasil uji klorofil  terbaik terdapat pada perlakuan S2 (salinitas 1500 ppm), hasil dari uji klorofil A (pada panjang gelombang 649) dengan angka rata-rata 16,538 mg/l, uji klorofil B (pada Panjang gelombang 665) dengan angka rata-rata 6,641 mg/l, dan klorofil totalnya ialah 23,151 mg/l. Sedangkan hasil terendah klorofil total ditempati oleh perlakuan S5 (salinitas 3000 ppm) dengan angka 17,313 mg/l. Hal tersebut membuktikan bahwa tanaman pakcoy toleran terhadap salinitas tinggi serta mampu tumbuh dengan baik terutama pada berat konsumsi sayur hingga salinitas 3000 ppm, walaupun terdapat penurunan jumlah klorofil total pada perlakuan S5. </w:t>
      </w:r>
    </w:p>
    <w:p w:rsidR="0016149B" w:rsidRPr="005277A3" w:rsidRDefault="0016149B" w:rsidP="001A46A1">
      <w:pPr>
        <w:ind w:firstLine="426"/>
        <w:jc w:val="both"/>
        <w:rPr>
          <w:sz w:val="20"/>
          <w:szCs w:val="20"/>
        </w:rPr>
      </w:pPr>
      <w:r w:rsidRPr="005277A3">
        <w:rPr>
          <w:sz w:val="20"/>
          <w:szCs w:val="20"/>
        </w:rPr>
        <w:t xml:space="preserve">Kandungan klorofil total pada tanaman sawi pakcoy tidak menunjukkan beda yang nyata pada uji anova, dibenarkan dengan penelitian </w:t>
      </w:r>
      <w:r>
        <w:rPr>
          <w:sz w:val="20"/>
          <w:szCs w:val="20"/>
        </w:rPr>
        <w:t>[2]</w:t>
      </w:r>
      <w:r w:rsidRPr="005277A3">
        <w:rPr>
          <w:sz w:val="20"/>
          <w:szCs w:val="20"/>
        </w:rPr>
        <w:t xml:space="preserve"> hal tersebut didukung oleh kandungan senyawa metabolit skunder yang dimiliki tanaman untuk mengatur tekanan osmotik sehingga kelebihan kadar garam NaCl tidak </w:t>
      </w:r>
      <w:r w:rsidR="00193AE1" w:rsidRPr="00552687">
        <w:rPr>
          <w:sz w:val="20"/>
          <w:szCs w:val="20"/>
        </w:rPr>
        <w:t>merespon</w:t>
      </w:r>
      <w:r w:rsidRPr="005277A3">
        <w:rPr>
          <w:sz w:val="20"/>
          <w:szCs w:val="20"/>
        </w:rPr>
        <w:t xml:space="preserve"> secara langsung terhadap proses pembentukan klorofil. Penelitian lain yang mengemukakan hal tersebut dilakukan oleh </w:t>
      </w:r>
      <w:r>
        <w:rPr>
          <w:sz w:val="20"/>
          <w:szCs w:val="20"/>
        </w:rPr>
        <w:t>[21]</w:t>
      </w:r>
      <w:r w:rsidRPr="005277A3">
        <w:rPr>
          <w:sz w:val="20"/>
          <w:szCs w:val="20"/>
        </w:rPr>
        <w:t xml:space="preserve"> yang menggunakan kadar salinitas 100mM – 200 mM NaCl pada tanaman Barley.</w:t>
      </w:r>
    </w:p>
    <w:bookmarkEnd w:id="14"/>
    <w:p w:rsidR="00953F53" w:rsidRPr="006C7A28" w:rsidRDefault="00770540">
      <w:pPr>
        <w:pStyle w:val="Heading1"/>
        <w:rPr>
          <w:sz w:val="24"/>
        </w:rPr>
      </w:pPr>
      <w:r w:rsidRPr="006C7A28">
        <w:rPr>
          <w:sz w:val="24"/>
          <w:lang w:val="en-ID"/>
        </w:rPr>
        <w:t>V</w:t>
      </w:r>
      <w:r w:rsidR="00953F53" w:rsidRPr="006C7A28">
        <w:rPr>
          <w:sz w:val="24"/>
        </w:rPr>
        <w:t>. Kesimpulan</w:t>
      </w:r>
    </w:p>
    <w:p w:rsidR="001375FE" w:rsidRPr="0016149B" w:rsidRDefault="0016149B" w:rsidP="001A46A1">
      <w:pPr>
        <w:spacing w:line="276" w:lineRule="auto"/>
        <w:ind w:firstLine="426"/>
        <w:jc w:val="both"/>
        <w:rPr>
          <w:sz w:val="20"/>
          <w:szCs w:val="20"/>
        </w:rPr>
      </w:pPr>
      <w:bookmarkStart w:id="15" w:name="_Hlk62489287"/>
      <w:r w:rsidRPr="0016149B">
        <w:rPr>
          <w:sz w:val="20"/>
          <w:szCs w:val="20"/>
        </w:rPr>
        <w:t xml:space="preserve">Bedasarkan hasil penelitian yang dilakukan maka dapat disimpulkan bahwa pertumbuhan sayur sawi pakcoy tidak </w:t>
      </w:r>
      <w:proofErr w:type="spellStart"/>
      <w:r w:rsidR="00193AE1">
        <w:rPr>
          <w:sz w:val="20"/>
          <w:szCs w:val="20"/>
          <w:lang w:val="en-US"/>
        </w:rPr>
        <w:t>merespon</w:t>
      </w:r>
      <w:proofErr w:type="spellEnd"/>
      <w:r w:rsidRPr="0016149B">
        <w:rPr>
          <w:sz w:val="20"/>
          <w:szCs w:val="20"/>
        </w:rPr>
        <w:t xml:space="preserve"> nyata terhadap kondisi cekaman salinitas pada model hidroponik sistem wick.</w:t>
      </w:r>
      <w:bookmarkEnd w:id="15"/>
    </w:p>
    <w:p w:rsidR="00953F53" w:rsidRPr="006C7A28" w:rsidRDefault="00953F53">
      <w:pPr>
        <w:pStyle w:val="Heading1"/>
        <w:rPr>
          <w:sz w:val="24"/>
        </w:rPr>
      </w:pPr>
      <w:r w:rsidRPr="006C7A28">
        <w:rPr>
          <w:sz w:val="24"/>
        </w:rPr>
        <w:t xml:space="preserve">Ucapan Terima Kasih </w:t>
      </w:r>
    </w:p>
    <w:p w:rsidR="00953F53" w:rsidRPr="00BE363D" w:rsidRDefault="00BE363D" w:rsidP="001A46A1">
      <w:pPr>
        <w:pStyle w:val="Body"/>
        <w:ind w:firstLine="426"/>
        <w:rPr>
          <w:lang w:val="en-US"/>
        </w:rPr>
      </w:pPr>
      <w:proofErr w:type="spellStart"/>
      <w:r>
        <w:rPr>
          <w:lang w:val="en-US"/>
        </w:rPr>
        <w:t>Terimakasih</w:t>
      </w:r>
      <w:proofErr w:type="spellEnd"/>
      <w:r>
        <w:rPr>
          <w:lang w:val="en-US"/>
        </w:rPr>
        <w:t xml:space="preserve"> kami </w:t>
      </w:r>
      <w:proofErr w:type="spellStart"/>
      <w:r>
        <w:rPr>
          <w:lang w:val="en-US"/>
        </w:rPr>
        <w:t>ucapkan</w:t>
      </w:r>
      <w:proofErr w:type="spellEnd"/>
      <w:r>
        <w:rPr>
          <w:lang w:val="en-US"/>
        </w:rPr>
        <w:t xml:space="preserve"> </w:t>
      </w:r>
      <w:proofErr w:type="spellStart"/>
      <w:r>
        <w:rPr>
          <w:lang w:val="en-US"/>
        </w:rPr>
        <w:t>kepada</w:t>
      </w:r>
      <w:proofErr w:type="spellEnd"/>
      <w:r>
        <w:rPr>
          <w:lang w:val="en-US"/>
        </w:rPr>
        <w:t xml:space="preserve"> </w:t>
      </w:r>
      <w:proofErr w:type="spellStart"/>
      <w:r w:rsidR="00F11B2C">
        <w:rPr>
          <w:lang w:val="en-US"/>
        </w:rPr>
        <w:t>seluruh</w:t>
      </w:r>
      <w:proofErr w:type="spellEnd"/>
      <w:r w:rsidR="00F11B2C">
        <w:rPr>
          <w:lang w:val="en-US"/>
        </w:rPr>
        <w:t xml:space="preserve"> </w:t>
      </w:r>
      <w:proofErr w:type="spellStart"/>
      <w:r w:rsidR="001375FE">
        <w:rPr>
          <w:lang w:val="en-US"/>
        </w:rPr>
        <w:t>pihak</w:t>
      </w:r>
      <w:proofErr w:type="spellEnd"/>
      <w:r w:rsidR="001375FE">
        <w:rPr>
          <w:lang w:val="en-US"/>
        </w:rPr>
        <w:t xml:space="preserve"> </w:t>
      </w:r>
      <w:r w:rsidR="00F11B2C">
        <w:rPr>
          <w:lang w:val="en-US"/>
        </w:rPr>
        <w:t xml:space="preserve">yang </w:t>
      </w:r>
      <w:proofErr w:type="spellStart"/>
      <w:r w:rsidR="00F11B2C">
        <w:rPr>
          <w:lang w:val="en-US"/>
        </w:rPr>
        <w:t>telah</w:t>
      </w:r>
      <w:proofErr w:type="spellEnd"/>
      <w:r w:rsidR="00F11B2C">
        <w:rPr>
          <w:lang w:val="en-US"/>
        </w:rPr>
        <w:t xml:space="preserve"> </w:t>
      </w:r>
      <w:proofErr w:type="spellStart"/>
      <w:r w:rsidR="00F11B2C">
        <w:rPr>
          <w:lang w:val="en-US"/>
        </w:rPr>
        <w:t>membantu</w:t>
      </w:r>
      <w:proofErr w:type="spellEnd"/>
      <w:r w:rsidR="00F11B2C">
        <w:rPr>
          <w:lang w:val="en-US"/>
        </w:rPr>
        <w:t xml:space="preserve"> </w:t>
      </w:r>
      <w:proofErr w:type="spellStart"/>
      <w:r w:rsidR="00F11B2C">
        <w:rPr>
          <w:lang w:val="en-US"/>
        </w:rPr>
        <w:t>penelitian</w:t>
      </w:r>
      <w:proofErr w:type="spellEnd"/>
      <w:r w:rsidR="0016149B">
        <w:rPr>
          <w:lang w:val="en-US"/>
        </w:rPr>
        <w:t xml:space="preserve"> </w:t>
      </w:r>
      <w:proofErr w:type="spellStart"/>
      <w:r w:rsidR="0016149B">
        <w:rPr>
          <w:lang w:val="en-US"/>
        </w:rPr>
        <w:t>respon</w:t>
      </w:r>
      <w:proofErr w:type="spellEnd"/>
      <w:r w:rsidR="0016149B">
        <w:rPr>
          <w:lang w:val="en-US"/>
        </w:rPr>
        <w:t xml:space="preserve"> </w:t>
      </w:r>
      <w:proofErr w:type="spellStart"/>
      <w:r w:rsidR="0016149B">
        <w:rPr>
          <w:lang w:val="en-US"/>
        </w:rPr>
        <w:t>pertumbuhan</w:t>
      </w:r>
      <w:proofErr w:type="spellEnd"/>
      <w:r w:rsidR="0016149B">
        <w:rPr>
          <w:lang w:val="en-US"/>
        </w:rPr>
        <w:t xml:space="preserve"> </w:t>
      </w:r>
      <w:proofErr w:type="spellStart"/>
      <w:r w:rsidR="0016149B">
        <w:rPr>
          <w:lang w:val="en-US"/>
        </w:rPr>
        <w:t>sawi</w:t>
      </w:r>
      <w:proofErr w:type="spellEnd"/>
      <w:r w:rsidR="0016149B">
        <w:rPr>
          <w:lang w:val="en-US"/>
        </w:rPr>
        <w:t xml:space="preserve"> </w:t>
      </w:r>
      <w:proofErr w:type="spellStart"/>
      <w:r w:rsidR="0016149B">
        <w:rPr>
          <w:lang w:val="en-US"/>
        </w:rPr>
        <w:t>pakcoi</w:t>
      </w:r>
      <w:proofErr w:type="spellEnd"/>
      <w:r w:rsidR="0016149B">
        <w:rPr>
          <w:lang w:val="en-US"/>
        </w:rPr>
        <w:t xml:space="preserve"> (Brassica </w:t>
      </w:r>
      <w:proofErr w:type="spellStart"/>
      <w:proofErr w:type="gramStart"/>
      <w:r w:rsidR="0016149B">
        <w:rPr>
          <w:lang w:val="en-US"/>
        </w:rPr>
        <w:t>rapa</w:t>
      </w:r>
      <w:proofErr w:type="spellEnd"/>
      <w:proofErr w:type="gramEnd"/>
      <w:r w:rsidR="0016149B">
        <w:rPr>
          <w:lang w:val="en-US"/>
        </w:rPr>
        <w:t xml:space="preserve"> L.) </w:t>
      </w:r>
      <w:proofErr w:type="spellStart"/>
      <w:r w:rsidR="0016149B">
        <w:rPr>
          <w:lang w:val="en-US"/>
        </w:rPr>
        <w:t>hidroponik</w:t>
      </w:r>
      <w:proofErr w:type="spellEnd"/>
      <w:r w:rsidR="0016149B">
        <w:rPr>
          <w:lang w:val="en-US"/>
        </w:rPr>
        <w:t xml:space="preserve"> system wick </w:t>
      </w:r>
      <w:proofErr w:type="spellStart"/>
      <w:r w:rsidR="0016149B">
        <w:rPr>
          <w:lang w:val="en-US"/>
        </w:rPr>
        <w:t>terhadap</w:t>
      </w:r>
      <w:proofErr w:type="spellEnd"/>
      <w:r w:rsidR="0016149B">
        <w:rPr>
          <w:lang w:val="en-US"/>
        </w:rPr>
        <w:t xml:space="preserve"> </w:t>
      </w:r>
      <w:proofErr w:type="spellStart"/>
      <w:r w:rsidR="0016149B">
        <w:rPr>
          <w:lang w:val="en-US"/>
        </w:rPr>
        <w:t>kondisi</w:t>
      </w:r>
      <w:proofErr w:type="spellEnd"/>
      <w:r w:rsidR="0016149B">
        <w:rPr>
          <w:lang w:val="en-US"/>
        </w:rPr>
        <w:t xml:space="preserve"> </w:t>
      </w:r>
      <w:proofErr w:type="spellStart"/>
      <w:r w:rsidR="0016149B">
        <w:rPr>
          <w:lang w:val="en-US"/>
        </w:rPr>
        <w:t>cekaman</w:t>
      </w:r>
      <w:proofErr w:type="spellEnd"/>
      <w:r w:rsidR="0016149B">
        <w:rPr>
          <w:lang w:val="en-US"/>
        </w:rPr>
        <w:t xml:space="preserve"> </w:t>
      </w:r>
      <w:proofErr w:type="spellStart"/>
      <w:r w:rsidR="0016149B">
        <w:rPr>
          <w:lang w:val="en-US"/>
        </w:rPr>
        <w:t>salinitas</w:t>
      </w:r>
      <w:proofErr w:type="spellEnd"/>
      <w:r w:rsidR="00F11B2C">
        <w:rPr>
          <w:lang w:val="en-US"/>
        </w:rPr>
        <w:t xml:space="preserve"> </w:t>
      </w:r>
      <w:proofErr w:type="spellStart"/>
      <w:r w:rsidR="00F11B2C">
        <w:rPr>
          <w:lang w:val="en-US"/>
        </w:rPr>
        <w:t>ini</w:t>
      </w:r>
      <w:proofErr w:type="spellEnd"/>
      <w:r w:rsidR="00F11B2C">
        <w:rPr>
          <w:lang w:val="en-US"/>
        </w:rPr>
        <w:t xml:space="preserve"> </w:t>
      </w:r>
      <w:proofErr w:type="spellStart"/>
      <w:r w:rsidR="00F11B2C">
        <w:rPr>
          <w:lang w:val="en-US"/>
        </w:rPr>
        <w:t>sehingga</w:t>
      </w:r>
      <w:proofErr w:type="spellEnd"/>
      <w:r w:rsidR="00F11B2C">
        <w:rPr>
          <w:lang w:val="en-US"/>
        </w:rPr>
        <w:t xml:space="preserve"> </w:t>
      </w:r>
      <w:proofErr w:type="spellStart"/>
      <w:r w:rsidR="00F11B2C">
        <w:rPr>
          <w:lang w:val="en-US"/>
        </w:rPr>
        <w:t>dapat</w:t>
      </w:r>
      <w:proofErr w:type="spellEnd"/>
      <w:r w:rsidR="00F11B2C">
        <w:rPr>
          <w:lang w:val="en-US"/>
        </w:rPr>
        <w:t xml:space="preserve"> </w:t>
      </w:r>
      <w:proofErr w:type="spellStart"/>
      <w:r w:rsidR="00F11B2C">
        <w:rPr>
          <w:lang w:val="en-US"/>
        </w:rPr>
        <w:t>berjalan</w:t>
      </w:r>
      <w:proofErr w:type="spellEnd"/>
      <w:r w:rsidR="00F11B2C">
        <w:rPr>
          <w:lang w:val="en-US"/>
        </w:rPr>
        <w:t xml:space="preserve"> </w:t>
      </w:r>
      <w:proofErr w:type="spellStart"/>
      <w:r w:rsidR="00F11B2C">
        <w:rPr>
          <w:lang w:val="en-US"/>
        </w:rPr>
        <w:t>dengan</w:t>
      </w:r>
      <w:proofErr w:type="spellEnd"/>
      <w:r w:rsidR="00F11B2C">
        <w:rPr>
          <w:lang w:val="en-US"/>
        </w:rPr>
        <w:t xml:space="preserve"> </w:t>
      </w:r>
      <w:proofErr w:type="spellStart"/>
      <w:r w:rsidR="00F11B2C">
        <w:rPr>
          <w:lang w:val="en-US"/>
        </w:rPr>
        <w:t>baik</w:t>
      </w:r>
      <w:proofErr w:type="spellEnd"/>
      <w:r w:rsidR="00F11B2C">
        <w:rPr>
          <w:lang w:val="en-US"/>
        </w:rPr>
        <w:t xml:space="preserve"> </w:t>
      </w:r>
      <w:proofErr w:type="spellStart"/>
      <w:r w:rsidR="00F11B2C">
        <w:rPr>
          <w:lang w:val="en-US"/>
        </w:rPr>
        <w:t>mulai</w:t>
      </w:r>
      <w:proofErr w:type="spellEnd"/>
      <w:r w:rsidR="00F11B2C">
        <w:rPr>
          <w:lang w:val="en-US"/>
        </w:rPr>
        <w:t xml:space="preserve"> </w:t>
      </w:r>
      <w:proofErr w:type="spellStart"/>
      <w:r w:rsidR="00F11B2C">
        <w:rPr>
          <w:lang w:val="en-US"/>
        </w:rPr>
        <w:t>dari</w:t>
      </w:r>
      <w:proofErr w:type="spellEnd"/>
      <w:r w:rsidR="00F11B2C">
        <w:rPr>
          <w:lang w:val="en-US"/>
        </w:rPr>
        <w:t xml:space="preserve"> </w:t>
      </w:r>
      <w:proofErr w:type="spellStart"/>
      <w:r w:rsidR="00F11B2C">
        <w:rPr>
          <w:lang w:val="en-US"/>
        </w:rPr>
        <w:t>persiapan</w:t>
      </w:r>
      <w:proofErr w:type="spellEnd"/>
      <w:r w:rsidR="00F11B2C">
        <w:rPr>
          <w:lang w:val="en-US"/>
        </w:rPr>
        <w:t xml:space="preserve">, </w:t>
      </w:r>
      <w:proofErr w:type="spellStart"/>
      <w:r w:rsidR="00F11B2C">
        <w:rPr>
          <w:lang w:val="en-US"/>
        </w:rPr>
        <w:t>pelaksanaan</w:t>
      </w:r>
      <w:proofErr w:type="spellEnd"/>
      <w:r w:rsidR="00F11B2C">
        <w:rPr>
          <w:lang w:val="en-US"/>
        </w:rPr>
        <w:t xml:space="preserve">, </w:t>
      </w:r>
      <w:proofErr w:type="spellStart"/>
      <w:r w:rsidR="00F11B2C">
        <w:rPr>
          <w:lang w:val="en-US"/>
        </w:rPr>
        <w:t>perhitungan</w:t>
      </w:r>
      <w:proofErr w:type="spellEnd"/>
      <w:r w:rsidR="00F11B2C">
        <w:rPr>
          <w:lang w:val="en-US"/>
        </w:rPr>
        <w:t xml:space="preserve"> data </w:t>
      </w:r>
      <w:proofErr w:type="spellStart"/>
      <w:r w:rsidR="00F11B2C">
        <w:rPr>
          <w:lang w:val="en-US"/>
        </w:rPr>
        <w:t>hingga</w:t>
      </w:r>
      <w:proofErr w:type="spellEnd"/>
      <w:r w:rsidR="00F11B2C">
        <w:rPr>
          <w:lang w:val="en-US"/>
        </w:rPr>
        <w:t xml:space="preserve"> </w:t>
      </w:r>
      <w:proofErr w:type="spellStart"/>
      <w:r w:rsidR="00F11B2C">
        <w:rPr>
          <w:lang w:val="en-US"/>
        </w:rPr>
        <w:t>selesainya</w:t>
      </w:r>
      <w:proofErr w:type="spellEnd"/>
      <w:r w:rsidR="00F11B2C">
        <w:rPr>
          <w:lang w:val="en-US"/>
        </w:rPr>
        <w:t xml:space="preserve"> </w:t>
      </w:r>
      <w:proofErr w:type="spellStart"/>
      <w:r w:rsidR="00F11B2C">
        <w:rPr>
          <w:lang w:val="en-US"/>
        </w:rPr>
        <w:t>penelitian</w:t>
      </w:r>
      <w:proofErr w:type="spellEnd"/>
      <w:r w:rsidR="00F11B2C">
        <w:rPr>
          <w:lang w:val="en-US"/>
        </w:rPr>
        <w:t>.</w:t>
      </w:r>
    </w:p>
    <w:p w:rsidR="00953F53" w:rsidRPr="006C7A28" w:rsidRDefault="006C7A28">
      <w:pPr>
        <w:pStyle w:val="Heading1"/>
        <w:tabs>
          <w:tab w:val="left" w:pos="0"/>
        </w:tabs>
        <w:rPr>
          <w:sz w:val="24"/>
        </w:rPr>
      </w:pPr>
      <w:proofErr w:type="spellStart"/>
      <w:r>
        <w:rPr>
          <w:sz w:val="24"/>
          <w:lang w:val="en-ID"/>
        </w:rPr>
        <w:t>Ref</w:t>
      </w:r>
      <w:r w:rsidR="00770540" w:rsidRPr="006C7A28">
        <w:rPr>
          <w:sz w:val="24"/>
          <w:lang w:val="en-ID"/>
        </w:rPr>
        <w:t>erensi</w:t>
      </w:r>
      <w:proofErr w:type="spellEnd"/>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Adimidharja, S., Hamid, G., Rosa, E. 2013. Pengaruh Pemberian Kombinasi Kompos Sapi dan Fertimix Terhadap Pertumbuhan dan Produksi Dua Kultifar Tanaman Selada (</w:t>
      </w:r>
      <w:r w:rsidRPr="005277A3">
        <w:rPr>
          <w:i/>
          <w:sz w:val="20"/>
          <w:szCs w:val="20"/>
        </w:rPr>
        <w:t xml:space="preserve">Lactuca sativa </w:t>
      </w:r>
      <w:r w:rsidRPr="005277A3">
        <w:rPr>
          <w:sz w:val="20"/>
          <w:szCs w:val="20"/>
        </w:rPr>
        <w:t>L.) Dalam Sistem Hidroponik Rakit Apung. Jurnal Pertanian Modern 5(1)78-90</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Asih,</w:t>
      </w:r>
      <w:r>
        <w:rPr>
          <w:sz w:val="20"/>
          <w:szCs w:val="20"/>
        </w:rPr>
        <w:t xml:space="preserve"> </w:t>
      </w:r>
      <w:r w:rsidRPr="005277A3">
        <w:rPr>
          <w:sz w:val="20"/>
          <w:szCs w:val="20"/>
        </w:rPr>
        <w:t>D. Mukarlina. Lovadi, I. 2015. Toleransi Tanaman Sawi Hijau (Brassica juncea L.) Terhadap Cekaman Salinitas Garam NaCl. Jurnal Protobiont 4 (1) 203-208</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 xml:space="preserve">Bandini, Y., Azis, N. 1995. Bayam. Jakarta: Penebar Swadaya. </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Damanhuri. 2005. Pewarisan Antosianin Dan Tanggap Klon Tanaman Ubi Jalar (</w:t>
      </w:r>
      <w:r w:rsidRPr="005277A3">
        <w:rPr>
          <w:i/>
          <w:iCs/>
          <w:sz w:val="20"/>
          <w:szCs w:val="20"/>
        </w:rPr>
        <w:t>Ipomea batatas</w:t>
      </w:r>
      <w:r w:rsidRPr="005277A3">
        <w:rPr>
          <w:sz w:val="20"/>
          <w:szCs w:val="20"/>
        </w:rPr>
        <w:t xml:space="preserve"> L.) Terhadap Lingkungan Tumbuh. (Disertasi) Program Studi Ilmu Pertanian Program Pascasarjana Universitas Brawijaya.</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 xml:space="preserve">Dermawan. 2010. Budidaya Tanaman Pakcoi. Yogyakarta : Kanisius. </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Dominiko, A., Setyobudi, L., Herlina, N. 2014. Respon Tanaman Sawi Pakcoy (</w:t>
      </w:r>
      <w:r w:rsidRPr="005277A3">
        <w:rPr>
          <w:i/>
          <w:sz w:val="20"/>
          <w:szCs w:val="20"/>
        </w:rPr>
        <w:t xml:space="preserve">Brassica rapachinensis) </w:t>
      </w:r>
      <w:r w:rsidRPr="005277A3">
        <w:rPr>
          <w:sz w:val="20"/>
          <w:szCs w:val="20"/>
        </w:rPr>
        <w:t>Terhadap Penggunaan Pupuk Kascing dan Biourin Kambing. Universitas Brawijaya Press.</w:t>
      </w:r>
    </w:p>
    <w:p w:rsidR="0016149B" w:rsidRPr="005277A3" w:rsidRDefault="0016149B" w:rsidP="001A46A1">
      <w:pPr>
        <w:pStyle w:val="ListParagraph"/>
        <w:numPr>
          <w:ilvl w:val="0"/>
          <w:numId w:val="7"/>
        </w:numPr>
        <w:tabs>
          <w:tab w:val="left" w:pos="-1276"/>
        </w:tabs>
        <w:suppressAutoHyphens w:val="0"/>
        <w:spacing w:after="120"/>
        <w:ind w:left="426"/>
        <w:jc w:val="both"/>
        <w:rPr>
          <w:snapToGrid w:val="0"/>
          <w:sz w:val="20"/>
          <w:szCs w:val="20"/>
        </w:rPr>
      </w:pPr>
      <w:r w:rsidRPr="005277A3">
        <w:rPr>
          <w:snapToGrid w:val="0"/>
          <w:sz w:val="20"/>
          <w:szCs w:val="20"/>
        </w:rPr>
        <w:t>Haryanto, E. 2003. Sawi Dan Selada. Jakarta: Penebar Swadaya.</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Iskandar, A. 2016. Optimalisasi Sekam Padi Bekas Ayam Petelur Terhadap Produktivitas Tanaman Kangkung Darat (</w:t>
      </w:r>
      <w:r w:rsidRPr="005277A3">
        <w:rPr>
          <w:i/>
          <w:iCs/>
          <w:sz w:val="20"/>
          <w:szCs w:val="20"/>
        </w:rPr>
        <w:t>Ipomoea aquatica).</w:t>
      </w:r>
      <w:r w:rsidRPr="005277A3">
        <w:rPr>
          <w:sz w:val="20"/>
          <w:szCs w:val="20"/>
        </w:rPr>
        <w:t xml:space="preserve"> 1(3) 1-20.</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Istiqomah, S. 2006. Menanam Hidroponik. Azka Press : 19.</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Lopez, C., H. Takahashi. Yamazaki, S. 2002. Hubungan Tanaman-Air Tanaman Kacang Merah Yang Diolah Dengan Nacl Dan Glycinebetaine Yang Diaplikasikan Secara Foliarly. Jurnal Crop Sci. 18(8) 73–80.</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lastRenderedPageBreak/>
        <w:t>Lovure, N. 2013. Jurus sempurna dari bertanam kangkung. Jakarta : PT. Maha Daya.</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Ma’ruf, A. 2016. Respon Beberapa Kultivar Tanaman Pangan Terhadap Salinitas. Universitas Asahan Press.</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Pratiwi, A. 2017. Peningkatan Pertumbuhan dan Kadar Flafonoid Total Tanaman Bayam Merah (</w:t>
      </w:r>
      <w:r w:rsidRPr="005277A3">
        <w:rPr>
          <w:i/>
          <w:sz w:val="20"/>
          <w:szCs w:val="20"/>
        </w:rPr>
        <w:t xml:space="preserve">Amaranthus gangetikus </w:t>
      </w:r>
      <w:r w:rsidRPr="005277A3">
        <w:rPr>
          <w:sz w:val="20"/>
          <w:szCs w:val="20"/>
        </w:rPr>
        <w:t>L.) Dengan Pemberian Pupuk Nitrogen. Universitas Ahmad Dahlan.</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Rengasami, P. 2006. Salinisasi dunia dengan Penekanan pada Australia. Jurnal Exper. Bot 57 (5) 1017-1023</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Rizal, S. 2017. Pengaruh Nutrisi Yang Diberikan Terhadap Pertumbuhan Tanaman (</w:t>
      </w:r>
      <w:r w:rsidRPr="005277A3">
        <w:rPr>
          <w:i/>
          <w:sz w:val="20"/>
          <w:szCs w:val="20"/>
        </w:rPr>
        <w:t xml:space="preserve">Brassica rapa </w:t>
      </w:r>
      <w:r w:rsidRPr="005277A3">
        <w:rPr>
          <w:sz w:val="20"/>
          <w:szCs w:val="20"/>
        </w:rPr>
        <w:t xml:space="preserve">L.) Yang Ditanam Secara Hidroponik.Universitas PGRI Palembang Press. </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Roidi, A. 2016. Pengaruh Pemberian Pupuk Cair Daun Lamtoro (</w:t>
      </w:r>
      <w:r w:rsidRPr="005277A3">
        <w:rPr>
          <w:i/>
          <w:iCs/>
          <w:sz w:val="20"/>
          <w:szCs w:val="20"/>
        </w:rPr>
        <w:t>Leucaena leucocephala</w:t>
      </w:r>
      <w:r w:rsidRPr="005277A3">
        <w:rPr>
          <w:sz w:val="20"/>
          <w:szCs w:val="20"/>
        </w:rPr>
        <w:t>) Terhadap Pertumbuhan dan Produktivitas Tanaman (</w:t>
      </w:r>
      <w:r w:rsidRPr="005277A3">
        <w:rPr>
          <w:i/>
          <w:iCs/>
          <w:sz w:val="20"/>
          <w:szCs w:val="20"/>
        </w:rPr>
        <w:t xml:space="preserve">Brassica rapa chinensis </w:t>
      </w:r>
      <w:r w:rsidRPr="005277A3">
        <w:rPr>
          <w:sz w:val="20"/>
          <w:szCs w:val="20"/>
        </w:rPr>
        <w:t>L.). Jurnal Agrohorti 12(2) 56-67.</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Susilawati. 2019. Dasar Dasar Bertanam Secara Hidroponik. Universitas Sriwijaya press.</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Syakir, M. Maslahah, N. Januwati, M. 2008. Pengaruh Salinitas Terhadap Pertumbuhan Produksi Dan Mutu Sambiloto (Andrographis paniculata Ness).  Jurnal Buletin Littro 29(2) 129-137</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 xml:space="preserve">Tallei, T. Rumengan, I. Adam, A. 2017. Hidroponik Untuk Pemula. Universitas Samratulangi Press. </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Wardhana, I., Hasbi, H., Wijaya, I. 2015. Respon Pertumbuhan Dan Produksi Tanaman Selada (</w:t>
      </w:r>
      <w:r w:rsidRPr="005277A3">
        <w:rPr>
          <w:i/>
          <w:sz w:val="20"/>
          <w:szCs w:val="20"/>
        </w:rPr>
        <w:t xml:space="preserve">Lacuta sativa </w:t>
      </w:r>
      <w:r w:rsidRPr="005277A3">
        <w:rPr>
          <w:sz w:val="20"/>
          <w:szCs w:val="20"/>
        </w:rPr>
        <w:t xml:space="preserve">L.) Pada Pemberian Dosis Pupuk Kandang Kambing Dan Interval Waktu Aplikasi Pupuk Cair Super Bionik. Jurnal Universitas Muhammadiyah Jember 4(7)89-107. </w:t>
      </w:r>
    </w:p>
    <w:p w:rsidR="0016149B" w:rsidRPr="005277A3" w:rsidRDefault="0016149B" w:rsidP="001A46A1">
      <w:pPr>
        <w:pStyle w:val="ListParagraph"/>
        <w:numPr>
          <w:ilvl w:val="0"/>
          <w:numId w:val="7"/>
        </w:numPr>
        <w:suppressAutoHyphens w:val="0"/>
        <w:spacing w:after="160"/>
        <w:ind w:left="426"/>
        <w:jc w:val="both"/>
        <w:rPr>
          <w:sz w:val="20"/>
          <w:szCs w:val="20"/>
        </w:rPr>
      </w:pPr>
      <w:r w:rsidRPr="005277A3">
        <w:rPr>
          <w:sz w:val="20"/>
          <w:szCs w:val="20"/>
        </w:rPr>
        <w:t>Yildiz, M.  Terzi, H. 2013. Effect Of NaCl Stress On Chlorophyll Biosynthesis, Prolin, Lipid, Peroxidation And Antioxidative Enzymes In Leaves Of Salt-Tolerant And Salt Sensitive Barley Cultivars. Journal Of Agricultural Sciences 1(19) 79-88</w:t>
      </w:r>
    </w:p>
    <w:p w:rsidR="0083285D" w:rsidRPr="0016149B" w:rsidRDefault="0016149B" w:rsidP="001A46A1">
      <w:pPr>
        <w:pStyle w:val="ListParagraph"/>
        <w:numPr>
          <w:ilvl w:val="0"/>
          <w:numId w:val="7"/>
        </w:numPr>
        <w:suppressAutoHyphens w:val="0"/>
        <w:spacing w:after="160"/>
        <w:ind w:left="426"/>
        <w:jc w:val="both"/>
        <w:rPr>
          <w:sz w:val="20"/>
          <w:szCs w:val="20"/>
        </w:rPr>
      </w:pPr>
      <w:r w:rsidRPr="005277A3">
        <w:rPr>
          <w:sz w:val="20"/>
          <w:szCs w:val="20"/>
        </w:rPr>
        <w:t>Yuliani. 2015. Pemanfaatan Mol (Mikroorganisme Lokal) Keong Mas (Pomoceae canaliculata) dan Pupuk Organik Untuk Peningkatan Pertumbuhan dan Hasil Tanaman Sawi (</w:t>
      </w:r>
      <w:r w:rsidRPr="005277A3">
        <w:rPr>
          <w:i/>
          <w:iCs/>
          <w:sz w:val="20"/>
          <w:szCs w:val="20"/>
        </w:rPr>
        <w:t xml:space="preserve">Brassica juncea </w:t>
      </w:r>
      <w:r w:rsidRPr="005277A3">
        <w:rPr>
          <w:sz w:val="20"/>
          <w:szCs w:val="20"/>
        </w:rPr>
        <w:t>L.). Jurnal Agroscience 5 (2) 7-12.</w:t>
      </w:r>
    </w:p>
    <w:sectPr w:rsidR="0083285D" w:rsidRPr="0016149B" w:rsidSect="00325F9C">
      <w:headerReference w:type="default" r:id="rId10"/>
      <w:headerReference w:type="first" r:id="rId11"/>
      <w:type w:val="continuous"/>
      <w:pgSz w:w="11906" w:h="16838"/>
      <w:pgMar w:top="1386" w:right="1134" w:bottom="1701" w:left="1412" w:header="567"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256" w:rsidRDefault="00546256" w:rsidP="0083285D">
      <w:r>
        <w:separator/>
      </w:r>
    </w:p>
  </w:endnote>
  <w:endnote w:type="continuationSeparator" w:id="0">
    <w:p w:rsidR="00546256" w:rsidRDefault="00546256" w:rsidP="008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256" w:rsidRDefault="00546256" w:rsidP="0083285D">
      <w:r>
        <w:separator/>
      </w:r>
    </w:p>
  </w:footnote>
  <w:footnote w:type="continuationSeparator" w:id="0">
    <w:p w:rsidR="00546256" w:rsidRDefault="00546256" w:rsidP="00832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9B" w:rsidRPr="003971D1" w:rsidRDefault="0016149B" w:rsidP="00BC133B">
    <w:pPr>
      <w:pStyle w:val="Header"/>
      <w:rPr>
        <w:rFonts w:ascii="Cambria" w:hAnsi="Cambria"/>
        <w:sz w:val="22"/>
        <w:szCs w:val="22"/>
      </w:rPr>
    </w:pPr>
    <w:r w:rsidRPr="003971D1">
      <w:rPr>
        <w:rFonts w:ascii="Cambria" w:hAnsi="Cambria"/>
        <w:sz w:val="22"/>
        <w:szCs w:val="22"/>
      </w:rPr>
      <w:t xml:space="preserve">Prosiding </w:t>
    </w:r>
  </w:p>
  <w:p w:rsidR="0016149B" w:rsidRPr="003971D1" w:rsidRDefault="0016149B" w:rsidP="00BC133B">
    <w:pPr>
      <w:pStyle w:val="Header"/>
      <w:rPr>
        <w:rFonts w:ascii="Cambria" w:hAnsi="Cambria"/>
        <w:sz w:val="22"/>
        <w:szCs w:val="22"/>
      </w:rPr>
    </w:pPr>
    <w:r w:rsidRPr="003971D1">
      <w:rPr>
        <w:rFonts w:ascii="Cambria" w:hAnsi="Cambria"/>
        <w:noProof/>
        <w:sz w:val="22"/>
        <w:szCs w:val="22"/>
        <w:lang w:val="en-US" w:eastAsia="ja-JP"/>
      </w:rPr>
      <w:drawing>
        <wp:anchor distT="0" distB="0" distL="114300" distR="114300" simplePos="0" relativeHeight="251667456" behindDoc="0" locked="0" layoutInCell="1" allowOverlap="1">
          <wp:simplePos x="0" y="0"/>
          <wp:positionH relativeFrom="column">
            <wp:posOffset>4012565</wp:posOffset>
          </wp:positionH>
          <wp:positionV relativeFrom="paragraph">
            <wp:posOffset>75565</wp:posOffset>
          </wp:positionV>
          <wp:extent cx="1923690" cy="57807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690" cy="578070"/>
                  </a:xfrm>
                  <a:prstGeom prst="rect">
                    <a:avLst/>
                  </a:prstGeom>
                  <a:noFill/>
                  <a:ln>
                    <a:noFill/>
                  </a:ln>
                </pic:spPr>
              </pic:pic>
            </a:graphicData>
          </a:graphic>
        </wp:anchor>
      </w:drawing>
    </w:r>
    <w:r w:rsidRPr="003971D1">
      <w:rPr>
        <w:rFonts w:ascii="Cambria" w:hAnsi="Cambria"/>
        <w:sz w:val="22"/>
        <w:szCs w:val="22"/>
      </w:rPr>
      <w:t xml:space="preserve">Seminar Nasional Sains dan Teknologi </w:t>
    </w:r>
  </w:p>
  <w:p w:rsidR="0016149B" w:rsidRPr="003971D1" w:rsidRDefault="0016149B" w:rsidP="00BC133B">
    <w:pPr>
      <w:pStyle w:val="Header"/>
      <w:rPr>
        <w:rFonts w:ascii="Cambria" w:hAnsi="Cambria"/>
        <w:sz w:val="22"/>
        <w:szCs w:val="22"/>
      </w:rPr>
    </w:pPr>
  </w:p>
  <w:p w:rsidR="0016149B" w:rsidRPr="003971D1" w:rsidRDefault="0016149B" w:rsidP="00BC133B">
    <w:pPr>
      <w:pStyle w:val="Header"/>
      <w:rPr>
        <w:rFonts w:ascii="Cambria" w:hAnsi="Cambria"/>
        <w:sz w:val="22"/>
        <w:szCs w:val="22"/>
      </w:rPr>
    </w:pPr>
    <w:r w:rsidRPr="003971D1">
      <w:rPr>
        <w:rFonts w:ascii="Cambria" w:hAnsi="Cambria"/>
        <w:sz w:val="22"/>
        <w:szCs w:val="22"/>
      </w:rPr>
      <w:t>Procedia of Engineering and Life Science</w:t>
    </w:r>
  </w:p>
  <w:p w:rsidR="0016149B" w:rsidRPr="003971D1" w:rsidRDefault="0016149B" w:rsidP="00BC133B">
    <w:pPr>
      <w:pStyle w:val="Header"/>
      <w:rPr>
        <w:rFonts w:ascii="Cambria" w:hAnsi="Cambria"/>
        <w:sz w:val="22"/>
        <w:szCs w:val="22"/>
      </w:rPr>
    </w:pPr>
    <w:r w:rsidRPr="003971D1">
      <w:rPr>
        <w:rFonts w:ascii="Cambria" w:hAnsi="Cambria"/>
        <w:sz w:val="22"/>
        <w:szCs w:val="22"/>
      </w:rPr>
      <w:t xml:space="preserve">Universitas Muhammadiyah Sidoarjo </w:t>
    </w:r>
  </w:p>
  <w:p w:rsidR="0016149B" w:rsidRDefault="00552687">
    <w:pPr>
      <w:pStyle w:val="Header"/>
    </w:pPr>
    <w:r>
      <w:rPr>
        <w:rFonts w:ascii="Cambria" w:hAnsi="Cambria"/>
        <w:noProof/>
        <w:sz w:val="22"/>
        <w:szCs w:val="22"/>
      </w:rPr>
      <w:pict>
        <v:line id="Straight Connector 3" o:spid="_x0000_s4100" style="position:absolute;z-index:251668480;visibility:visible;mso-width-relative:margin" from="-1.55pt,7.75pt" to="47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" strokecolor="#7030a0" strokeweight="1.5pt">
          <v:stroke joinstyle="miter"/>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F9C" w:rsidRPr="003971D1" w:rsidRDefault="00325F9C" w:rsidP="00325F9C">
    <w:pPr>
      <w:pStyle w:val="Header"/>
      <w:rPr>
        <w:rFonts w:ascii="Cambria" w:hAnsi="Cambria"/>
        <w:sz w:val="22"/>
        <w:szCs w:val="22"/>
      </w:rPr>
    </w:pPr>
    <w:r w:rsidRPr="003971D1">
      <w:rPr>
        <w:rFonts w:ascii="Cambria" w:hAnsi="Cambria"/>
        <w:sz w:val="22"/>
        <w:szCs w:val="22"/>
      </w:rPr>
      <w:t>Procedia of Engineering and Life Science</w:t>
    </w:r>
    <w:r>
      <w:rPr>
        <w:rFonts w:ascii="Cambria" w:hAnsi="Cambria"/>
        <w:sz w:val="22"/>
        <w:szCs w:val="22"/>
      </w:rPr>
      <w:t xml:space="preserve">  Vol. 1. No. 1 March 2021</w:t>
    </w:r>
  </w:p>
  <w:p w:rsidR="00325F9C" w:rsidRDefault="00325F9C" w:rsidP="00325F9C">
    <w:pPr>
      <w:pStyle w:val="Header"/>
      <w:rPr>
        <w:rFonts w:ascii="Cambria" w:hAnsi="Cambria"/>
        <w:sz w:val="22"/>
        <w:szCs w:val="22"/>
      </w:rPr>
    </w:pPr>
    <w:r>
      <w:rPr>
        <w:rFonts w:ascii="Cambria" w:hAnsi="Cambria"/>
        <w:sz w:val="22"/>
        <w:szCs w:val="22"/>
      </w:rPr>
      <w:t>Seminar Nasional &amp; Call Paper Fakultas Sains dan Teknologi (SENASAINS 1</w:t>
    </w:r>
    <w:r w:rsidRPr="006B547E">
      <w:rPr>
        <w:rFonts w:ascii="Cambria" w:hAnsi="Cambria"/>
        <w:sz w:val="22"/>
        <w:szCs w:val="22"/>
        <w:vertAlign w:val="superscript"/>
      </w:rPr>
      <w:t>st</w:t>
    </w:r>
    <w:r>
      <w:rPr>
        <w:rFonts w:ascii="Cambria" w:hAnsi="Cambria"/>
        <w:sz w:val="22"/>
        <w:szCs w:val="22"/>
      </w:rPr>
      <w:t xml:space="preserve">) </w:t>
    </w:r>
  </w:p>
  <w:p w:rsidR="00325F9C" w:rsidRPr="003971D1" w:rsidRDefault="00325F9C" w:rsidP="00325F9C">
    <w:pPr>
      <w:pStyle w:val="Header"/>
      <w:rPr>
        <w:rFonts w:ascii="Cambria" w:hAnsi="Cambria"/>
        <w:sz w:val="22"/>
        <w:szCs w:val="22"/>
      </w:rPr>
    </w:pPr>
    <w:r w:rsidRPr="003971D1">
      <w:rPr>
        <w:rFonts w:ascii="Cambria" w:hAnsi="Cambria"/>
        <w:sz w:val="22"/>
        <w:szCs w:val="22"/>
      </w:rPr>
      <w:t>Universitas Muhammadiyah Sidoarjo</w:t>
    </w:r>
  </w:p>
  <w:p w:rsidR="0016149B" w:rsidRPr="00BC133B" w:rsidRDefault="00552687" w:rsidP="00BC133B">
    <w:pPr>
      <w:pStyle w:val="Header"/>
    </w:pPr>
    <w:r>
      <w:rPr>
        <w:rFonts w:ascii="Cambria" w:hAnsi="Cambria"/>
        <w:noProof/>
        <w:sz w:val="22"/>
        <w:szCs w:val="22"/>
      </w:rPr>
      <w:pict>
        <v:line id="Straight Connector 4" o:spid="_x0000_s4099" style="position:absolute;z-index:251666432;visibility:visible;mso-width-relative:margin" from="-1.55pt,7.75pt" to="47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" strokecolor="#7030a0" strokeweight="1.5pt">
          <v:stroke joinstyle="miter"/>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9B7" w:rsidRPr="003971D1" w:rsidRDefault="00D059B7" w:rsidP="00D059B7">
    <w:pPr>
      <w:pStyle w:val="Header"/>
      <w:rPr>
        <w:rFonts w:ascii="Cambria" w:hAnsi="Cambria"/>
        <w:sz w:val="22"/>
        <w:szCs w:val="22"/>
      </w:rPr>
    </w:pPr>
    <w:r w:rsidRPr="003971D1">
      <w:rPr>
        <w:rFonts w:ascii="Cambria" w:hAnsi="Cambria"/>
        <w:sz w:val="22"/>
        <w:szCs w:val="22"/>
      </w:rPr>
      <w:t>Procedia of Engineering and Life Science</w:t>
    </w:r>
    <w:r>
      <w:rPr>
        <w:rFonts w:ascii="Cambria" w:hAnsi="Cambria"/>
        <w:sz w:val="22"/>
        <w:szCs w:val="22"/>
      </w:rPr>
      <w:t xml:space="preserve">  Vol. 1. No. 1 March 2021</w:t>
    </w:r>
  </w:p>
  <w:p w:rsidR="00D059B7" w:rsidRDefault="00D059B7" w:rsidP="00D059B7">
    <w:pPr>
      <w:pStyle w:val="Header"/>
      <w:rPr>
        <w:rFonts w:ascii="Cambria" w:hAnsi="Cambria"/>
        <w:sz w:val="22"/>
        <w:szCs w:val="22"/>
      </w:rPr>
    </w:pPr>
    <w:r>
      <w:rPr>
        <w:rFonts w:ascii="Cambria" w:hAnsi="Cambria"/>
        <w:sz w:val="22"/>
        <w:szCs w:val="22"/>
      </w:rPr>
      <w:t>Seminar Nasional &amp; Call Paper Fakultas Sains dan Teknologi (SENASAINS 1</w:t>
    </w:r>
    <w:r w:rsidRPr="006B547E">
      <w:rPr>
        <w:rFonts w:ascii="Cambria" w:hAnsi="Cambria"/>
        <w:sz w:val="22"/>
        <w:szCs w:val="22"/>
        <w:vertAlign w:val="superscript"/>
      </w:rPr>
      <w:t>st</w:t>
    </w:r>
    <w:r>
      <w:rPr>
        <w:rFonts w:ascii="Cambria" w:hAnsi="Cambria"/>
        <w:sz w:val="22"/>
        <w:szCs w:val="22"/>
      </w:rPr>
      <w:t xml:space="preserve">) </w:t>
    </w:r>
  </w:p>
  <w:p w:rsidR="00D059B7" w:rsidRPr="003971D1" w:rsidRDefault="00D059B7" w:rsidP="00D059B7">
    <w:pPr>
      <w:pStyle w:val="Header"/>
      <w:rPr>
        <w:rFonts w:ascii="Cambria" w:hAnsi="Cambria"/>
        <w:sz w:val="22"/>
        <w:szCs w:val="22"/>
      </w:rPr>
    </w:pPr>
    <w:r w:rsidRPr="003971D1">
      <w:rPr>
        <w:rFonts w:ascii="Cambria" w:hAnsi="Cambria"/>
        <w:sz w:val="22"/>
        <w:szCs w:val="22"/>
      </w:rPr>
      <w:t>Universitas Muhammadiyah Sidoarjo</w:t>
    </w:r>
  </w:p>
  <w:p w:rsidR="00624C3A" w:rsidRDefault="00552687">
    <w:pPr>
      <w:pStyle w:val="Header"/>
    </w:pPr>
    <w:r>
      <w:rPr>
        <w:rFonts w:ascii="Cambria" w:hAnsi="Cambria"/>
        <w:noProof/>
        <w:sz w:val="22"/>
        <w:szCs w:val="22"/>
      </w:rPr>
      <w:pict>
        <v:line id="Straight Connector 8" o:spid="_x0000_s4098" style="position:absolute;z-index:251663360;visibility:visible;mso-width-relative:margin" from="-1.55pt,7.75pt" to="47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" strokecolor="#7030a0" strokeweight="1.5pt">
          <v:stroke joinstyle="miter"/>
        </v:lin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33B" w:rsidRPr="003971D1" w:rsidRDefault="00BC133B" w:rsidP="00BC133B">
    <w:pPr>
      <w:pStyle w:val="Header"/>
      <w:rPr>
        <w:rFonts w:ascii="Cambria" w:hAnsi="Cambria"/>
        <w:sz w:val="22"/>
        <w:szCs w:val="22"/>
      </w:rPr>
    </w:pPr>
    <w:r w:rsidRPr="003971D1">
      <w:rPr>
        <w:rFonts w:ascii="Cambria" w:hAnsi="Cambria"/>
        <w:sz w:val="22"/>
        <w:szCs w:val="22"/>
      </w:rPr>
      <w:t xml:space="preserve">Prosiding </w:t>
    </w:r>
  </w:p>
  <w:p w:rsidR="00BC133B" w:rsidRPr="003971D1" w:rsidRDefault="00BC133B" w:rsidP="00BC133B">
    <w:pPr>
      <w:pStyle w:val="Header"/>
      <w:rPr>
        <w:rFonts w:ascii="Cambria" w:hAnsi="Cambria"/>
        <w:sz w:val="22"/>
        <w:szCs w:val="22"/>
      </w:rPr>
    </w:pPr>
    <w:r w:rsidRPr="003971D1">
      <w:rPr>
        <w:rFonts w:ascii="Cambria" w:hAnsi="Cambria"/>
        <w:noProof/>
        <w:sz w:val="22"/>
        <w:szCs w:val="22"/>
        <w:lang w:val="en-US" w:eastAsia="ja-JP"/>
      </w:rPr>
      <w:drawing>
        <wp:anchor distT="0" distB="0" distL="114300" distR="114300" simplePos="0" relativeHeight="251659264" behindDoc="0" locked="0" layoutInCell="1" allowOverlap="1">
          <wp:simplePos x="0" y="0"/>
          <wp:positionH relativeFrom="column">
            <wp:posOffset>4012565</wp:posOffset>
          </wp:positionH>
          <wp:positionV relativeFrom="paragraph">
            <wp:posOffset>75565</wp:posOffset>
          </wp:positionV>
          <wp:extent cx="1923690" cy="578070"/>
          <wp:effectExtent l="0" t="0" r="63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690" cy="578070"/>
                  </a:xfrm>
                  <a:prstGeom prst="rect">
                    <a:avLst/>
                  </a:prstGeom>
                  <a:noFill/>
                  <a:ln>
                    <a:noFill/>
                  </a:ln>
                </pic:spPr>
              </pic:pic>
            </a:graphicData>
          </a:graphic>
        </wp:anchor>
      </w:drawing>
    </w:r>
    <w:r w:rsidRPr="003971D1">
      <w:rPr>
        <w:rFonts w:ascii="Cambria" w:hAnsi="Cambria"/>
        <w:sz w:val="22"/>
        <w:szCs w:val="22"/>
      </w:rPr>
      <w:t xml:space="preserve">Seminar Nasional Sains dan Teknologi </w:t>
    </w:r>
  </w:p>
  <w:p w:rsidR="00BC133B" w:rsidRPr="003971D1" w:rsidRDefault="00BC133B" w:rsidP="00BC133B">
    <w:pPr>
      <w:pStyle w:val="Header"/>
      <w:rPr>
        <w:rFonts w:ascii="Cambria" w:hAnsi="Cambria"/>
        <w:sz w:val="22"/>
        <w:szCs w:val="22"/>
      </w:rPr>
    </w:pPr>
  </w:p>
  <w:p w:rsidR="00BC133B" w:rsidRPr="003971D1" w:rsidRDefault="00BC133B" w:rsidP="00BC133B">
    <w:pPr>
      <w:pStyle w:val="Header"/>
      <w:rPr>
        <w:rFonts w:ascii="Cambria" w:hAnsi="Cambria"/>
        <w:sz w:val="22"/>
        <w:szCs w:val="22"/>
      </w:rPr>
    </w:pPr>
    <w:r w:rsidRPr="003971D1">
      <w:rPr>
        <w:rFonts w:ascii="Cambria" w:hAnsi="Cambria"/>
        <w:sz w:val="22"/>
        <w:szCs w:val="22"/>
      </w:rPr>
      <w:t>Procedia of Engineering and Life Science</w:t>
    </w:r>
  </w:p>
  <w:p w:rsidR="00BC133B" w:rsidRPr="003971D1" w:rsidRDefault="00BC133B" w:rsidP="00BC133B">
    <w:pPr>
      <w:pStyle w:val="Header"/>
      <w:rPr>
        <w:rFonts w:ascii="Cambria" w:hAnsi="Cambria"/>
        <w:sz w:val="22"/>
        <w:szCs w:val="22"/>
      </w:rPr>
    </w:pPr>
    <w:r w:rsidRPr="003971D1">
      <w:rPr>
        <w:rFonts w:ascii="Cambria" w:hAnsi="Cambria"/>
        <w:sz w:val="22"/>
        <w:szCs w:val="22"/>
      </w:rPr>
      <w:t xml:space="preserve">Universitas Muhammadiyah Sidoarjo </w:t>
    </w:r>
  </w:p>
  <w:p w:rsidR="00F93AEF" w:rsidRPr="00BC133B" w:rsidRDefault="00552687" w:rsidP="00BC133B">
    <w:pPr>
      <w:pStyle w:val="Header"/>
    </w:pPr>
    <w:r>
      <w:rPr>
        <w:rFonts w:ascii="Cambria" w:hAnsi="Cambria"/>
        <w:noProof/>
        <w:sz w:val="22"/>
        <w:szCs w:val="22"/>
      </w:rPr>
      <w:pict>
        <v:line id="Straight Connector 7" o:spid="_x0000_s4097" style="position:absolute;z-index:251660288;visibility:visible;mso-width-relative:margin" from="-1.55pt,7.75pt" to="47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" strokecolor="#7030a0" strokeweight="1.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C4AC0"/>
    <w:multiLevelType w:val="hybridMultilevel"/>
    <w:tmpl w:val="EF229A22"/>
    <w:lvl w:ilvl="0" w:tplc="4552B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902C0A"/>
    <w:multiLevelType w:val="hybridMultilevel"/>
    <w:tmpl w:val="895E6398"/>
    <w:lvl w:ilvl="0" w:tplc="025AB6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C716F0"/>
    <w:rsid w:val="00027268"/>
    <w:rsid w:val="000660A9"/>
    <w:rsid w:val="000B5265"/>
    <w:rsid w:val="000B526B"/>
    <w:rsid w:val="000E730F"/>
    <w:rsid w:val="00131076"/>
    <w:rsid w:val="001375FE"/>
    <w:rsid w:val="001421B9"/>
    <w:rsid w:val="0016149B"/>
    <w:rsid w:val="001677C1"/>
    <w:rsid w:val="00193AE1"/>
    <w:rsid w:val="001A46A1"/>
    <w:rsid w:val="001A5C68"/>
    <w:rsid w:val="001B0E94"/>
    <w:rsid w:val="001B15BB"/>
    <w:rsid w:val="001E5608"/>
    <w:rsid w:val="002320DD"/>
    <w:rsid w:val="00242FB7"/>
    <w:rsid w:val="00264D46"/>
    <w:rsid w:val="002F7FC1"/>
    <w:rsid w:val="00321842"/>
    <w:rsid w:val="00325F9C"/>
    <w:rsid w:val="003337B6"/>
    <w:rsid w:val="003634BD"/>
    <w:rsid w:val="004719DD"/>
    <w:rsid w:val="004D6D68"/>
    <w:rsid w:val="00546256"/>
    <w:rsid w:val="00552687"/>
    <w:rsid w:val="00581C10"/>
    <w:rsid w:val="005E7E97"/>
    <w:rsid w:val="005F248D"/>
    <w:rsid w:val="00624C3A"/>
    <w:rsid w:val="0067458E"/>
    <w:rsid w:val="006B3340"/>
    <w:rsid w:val="006C7A28"/>
    <w:rsid w:val="00770540"/>
    <w:rsid w:val="007D5F54"/>
    <w:rsid w:val="0083285D"/>
    <w:rsid w:val="00832D9F"/>
    <w:rsid w:val="008427CC"/>
    <w:rsid w:val="008B4D62"/>
    <w:rsid w:val="0092251A"/>
    <w:rsid w:val="00953F53"/>
    <w:rsid w:val="00963F61"/>
    <w:rsid w:val="009702C4"/>
    <w:rsid w:val="00997EEF"/>
    <w:rsid w:val="009C4800"/>
    <w:rsid w:val="00AB04EA"/>
    <w:rsid w:val="00BA3B8B"/>
    <w:rsid w:val="00BC133B"/>
    <w:rsid w:val="00BE363D"/>
    <w:rsid w:val="00C01B0D"/>
    <w:rsid w:val="00C23E0A"/>
    <w:rsid w:val="00C716F0"/>
    <w:rsid w:val="00C72DB4"/>
    <w:rsid w:val="00C74B3A"/>
    <w:rsid w:val="00CC07F7"/>
    <w:rsid w:val="00CD261E"/>
    <w:rsid w:val="00D059B7"/>
    <w:rsid w:val="00D42875"/>
    <w:rsid w:val="00D9415A"/>
    <w:rsid w:val="00DA01B7"/>
    <w:rsid w:val="00DB272A"/>
    <w:rsid w:val="00EA1808"/>
    <w:rsid w:val="00ED0D2A"/>
    <w:rsid w:val="00EF2E52"/>
    <w:rsid w:val="00EF5FE0"/>
    <w:rsid w:val="00F11B2C"/>
    <w:rsid w:val="00F2600B"/>
    <w:rsid w:val="00F93AEF"/>
    <w:rsid w:val="00FA22B4"/>
    <w:rsid w:val="00FE3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oNotEmbedSmartTags/>
  <w:decimalSymbol w:val=","/>
  <w:listSeparator w:val=";"/>
  <w15:docId w15:val="{FF91BBDB-A19B-4473-93F1-24020EBD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808"/>
    <w:pPr>
      <w:suppressAutoHyphens/>
    </w:pPr>
    <w:rPr>
      <w:sz w:val="24"/>
      <w:szCs w:val="24"/>
      <w:lang w:val="id-ID" w:eastAsia="zh-CN"/>
    </w:rPr>
  </w:style>
  <w:style w:type="paragraph" w:styleId="Heading1">
    <w:name w:val="heading 1"/>
    <w:basedOn w:val="Normal"/>
    <w:next w:val="Normal"/>
    <w:qFormat/>
    <w:rsid w:val="00EA1808"/>
    <w:pPr>
      <w:keepNext/>
      <w:numPr>
        <w:numId w:val="1"/>
      </w:numPr>
      <w:spacing w:before="288" w:after="144"/>
      <w:jc w:val="center"/>
      <w:outlineLvl w:val="0"/>
    </w:pPr>
    <w:rPr>
      <w:b/>
      <w:smallCaps/>
      <w:sz w:val="20"/>
      <w:szCs w:val="20"/>
    </w:rPr>
  </w:style>
  <w:style w:type="paragraph" w:styleId="Heading2">
    <w:name w:val="heading 2"/>
    <w:basedOn w:val="Normal"/>
    <w:next w:val="Normal"/>
    <w:qFormat/>
    <w:rsid w:val="00EA1808"/>
    <w:pPr>
      <w:keepNext/>
      <w:numPr>
        <w:ilvl w:val="1"/>
        <w:numId w:val="1"/>
      </w:numPr>
      <w:jc w:val="both"/>
      <w:outlineLvl w:val="1"/>
    </w:pPr>
    <w:rPr>
      <w:szCs w:val="20"/>
    </w:rPr>
  </w:style>
  <w:style w:type="paragraph" w:styleId="Heading3">
    <w:name w:val="heading 3"/>
    <w:basedOn w:val="Normal"/>
    <w:next w:val="Normal"/>
    <w:qFormat/>
    <w:rsid w:val="00EA1808"/>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A1808"/>
    <w:rPr>
      <w:b/>
    </w:rPr>
  </w:style>
  <w:style w:type="character" w:customStyle="1" w:styleId="WW8Num1z1">
    <w:name w:val="WW8Num1z1"/>
    <w:rsid w:val="00EA1808"/>
  </w:style>
  <w:style w:type="character" w:customStyle="1" w:styleId="WW8Num1z2">
    <w:name w:val="WW8Num1z2"/>
    <w:rsid w:val="00EA1808"/>
  </w:style>
  <w:style w:type="character" w:customStyle="1" w:styleId="WW8Num1z3">
    <w:name w:val="WW8Num1z3"/>
    <w:rsid w:val="00EA1808"/>
  </w:style>
  <w:style w:type="character" w:customStyle="1" w:styleId="WW8Num1z4">
    <w:name w:val="WW8Num1z4"/>
    <w:rsid w:val="00EA1808"/>
  </w:style>
  <w:style w:type="character" w:customStyle="1" w:styleId="WW8Num1z5">
    <w:name w:val="WW8Num1z5"/>
    <w:rsid w:val="00EA1808"/>
  </w:style>
  <w:style w:type="character" w:customStyle="1" w:styleId="WW8Num1z6">
    <w:name w:val="WW8Num1z6"/>
    <w:rsid w:val="00EA1808"/>
  </w:style>
  <w:style w:type="character" w:customStyle="1" w:styleId="WW8Num1z7">
    <w:name w:val="WW8Num1z7"/>
    <w:rsid w:val="00EA1808"/>
  </w:style>
  <w:style w:type="character" w:customStyle="1" w:styleId="WW8Num1z8">
    <w:name w:val="WW8Num1z8"/>
    <w:rsid w:val="00EA1808"/>
  </w:style>
  <w:style w:type="character" w:customStyle="1" w:styleId="WW8Num2z0">
    <w:name w:val="WW8Num2z0"/>
    <w:rsid w:val="00EA1808"/>
  </w:style>
  <w:style w:type="character" w:customStyle="1" w:styleId="WW8Num2z1">
    <w:name w:val="WW8Num2z1"/>
    <w:rsid w:val="00EA1808"/>
  </w:style>
  <w:style w:type="character" w:customStyle="1" w:styleId="WW8Num2z2">
    <w:name w:val="WW8Num2z2"/>
    <w:rsid w:val="00EA1808"/>
  </w:style>
  <w:style w:type="character" w:customStyle="1" w:styleId="WW8Num2z3">
    <w:name w:val="WW8Num2z3"/>
    <w:rsid w:val="00EA1808"/>
  </w:style>
  <w:style w:type="character" w:customStyle="1" w:styleId="WW8Num2z4">
    <w:name w:val="WW8Num2z4"/>
    <w:rsid w:val="00EA1808"/>
  </w:style>
  <w:style w:type="character" w:customStyle="1" w:styleId="WW8Num2z5">
    <w:name w:val="WW8Num2z5"/>
    <w:rsid w:val="00EA1808"/>
  </w:style>
  <w:style w:type="character" w:customStyle="1" w:styleId="WW8Num2z6">
    <w:name w:val="WW8Num2z6"/>
    <w:rsid w:val="00EA1808"/>
  </w:style>
  <w:style w:type="character" w:customStyle="1" w:styleId="WW8Num2z7">
    <w:name w:val="WW8Num2z7"/>
    <w:rsid w:val="00EA1808"/>
  </w:style>
  <w:style w:type="character" w:customStyle="1" w:styleId="WW8Num2z8">
    <w:name w:val="WW8Num2z8"/>
    <w:rsid w:val="00EA1808"/>
  </w:style>
  <w:style w:type="character" w:customStyle="1" w:styleId="WW8Num3z0">
    <w:name w:val="WW8Num3z0"/>
    <w:rsid w:val="00EA1808"/>
  </w:style>
  <w:style w:type="character" w:customStyle="1" w:styleId="WW8Num3z1">
    <w:name w:val="WW8Num3z1"/>
    <w:rsid w:val="00EA1808"/>
  </w:style>
  <w:style w:type="character" w:customStyle="1" w:styleId="WW8Num3z2">
    <w:name w:val="WW8Num3z2"/>
    <w:rsid w:val="00EA1808"/>
  </w:style>
  <w:style w:type="character" w:customStyle="1" w:styleId="WW8Num3z3">
    <w:name w:val="WW8Num3z3"/>
    <w:rsid w:val="00EA1808"/>
  </w:style>
  <w:style w:type="character" w:customStyle="1" w:styleId="WW8Num3z4">
    <w:name w:val="WW8Num3z4"/>
    <w:rsid w:val="00EA1808"/>
  </w:style>
  <w:style w:type="character" w:customStyle="1" w:styleId="WW8Num3z5">
    <w:name w:val="WW8Num3z5"/>
    <w:rsid w:val="00EA1808"/>
  </w:style>
  <w:style w:type="character" w:customStyle="1" w:styleId="WW8Num3z6">
    <w:name w:val="WW8Num3z6"/>
    <w:rsid w:val="00EA1808"/>
  </w:style>
  <w:style w:type="character" w:customStyle="1" w:styleId="WW8Num3z7">
    <w:name w:val="WW8Num3z7"/>
    <w:rsid w:val="00EA1808"/>
  </w:style>
  <w:style w:type="character" w:customStyle="1" w:styleId="WW8Num3z8">
    <w:name w:val="WW8Num3z8"/>
    <w:rsid w:val="00EA1808"/>
  </w:style>
  <w:style w:type="character" w:customStyle="1" w:styleId="WW8Num4z0">
    <w:name w:val="WW8Num4z0"/>
    <w:rsid w:val="00EA1808"/>
    <w:rPr>
      <w:i/>
    </w:rPr>
  </w:style>
  <w:style w:type="character" w:customStyle="1" w:styleId="WW8Num4z1">
    <w:name w:val="WW8Num4z1"/>
    <w:rsid w:val="00EA1808"/>
  </w:style>
  <w:style w:type="character" w:customStyle="1" w:styleId="WW8Num4z2">
    <w:name w:val="WW8Num4z2"/>
    <w:rsid w:val="00EA1808"/>
  </w:style>
  <w:style w:type="character" w:customStyle="1" w:styleId="WW8Num4z3">
    <w:name w:val="WW8Num4z3"/>
    <w:rsid w:val="00EA1808"/>
  </w:style>
  <w:style w:type="character" w:customStyle="1" w:styleId="WW8Num4z4">
    <w:name w:val="WW8Num4z4"/>
    <w:rsid w:val="00EA1808"/>
  </w:style>
  <w:style w:type="character" w:customStyle="1" w:styleId="WW8Num4z5">
    <w:name w:val="WW8Num4z5"/>
    <w:rsid w:val="00EA1808"/>
  </w:style>
  <w:style w:type="character" w:customStyle="1" w:styleId="WW8Num4z6">
    <w:name w:val="WW8Num4z6"/>
    <w:rsid w:val="00EA1808"/>
  </w:style>
  <w:style w:type="character" w:customStyle="1" w:styleId="WW8Num4z7">
    <w:name w:val="WW8Num4z7"/>
    <w:rsid w:val="00EA1808"/>
  </w:style>
  <w:style w:type="character" w:customStyle="1" w:styleId="WW8Num4z8">
    <w:name w:val="WW8Num4z8"/>
    <w:rsid w:val="00EA1808"/>
  </w:style>
  <w:style w:type="character" w:customStyle="1" w:styleId="WW8Num5z0">
    <w:name w:val="WW8Num5z0"/>
    <w:rsid w:val="00EA1808"/>
  </w:style>
  <w:style w:type="character" w:customStyle="1" w:styleId="WW8Num5z1">
    <w:name w:val="WW8Num5z1"/>
    <w:rsid w:val="00EA1808"/>
  </w:style>
  <w:style w:type="character" w:customStyle="1" w:styleId="WW8Num5z2">
    <w:name w:val="WW8Num5z2"/>
    <w:rsid w:val="00EA1808"/>
  </w:style>
  <w:style w:type="character" w:customStyle="1" w:styleId="WW8Num5z3">
    <w:name w:val="WW8Num5z3"/>
    <w:rsid w:val="00EA1808"/>
  </w:style>
  <w:style w:type="character" w:customStyle="1" w:styleId="WW8Num5z4">
    <w:name w:val="WW8Num5z4"/>
    <w:rsid w:val="00EA1808"/>
  </w:style>
  <w:style w:type="character" w:customStyle="1" w:styleId="WW8Num5z5">
    <w:name w:val="WW8Num5z5"/>
    <w:rsid w:val="00EA1808"/>
  </w:style>
  <w:style w:type="character" w:customStyle="1" w:styleId="WW8Num5z6">
    <w:name w:val="WW8Num5z6"/>
    <w:rsid w:val="00EA1808"/>
  </w:style>
  <w:style w:type="character" w:customStyle="1" w:styleId="WW8Num5z7">
    <w:name w:val="WW8Num5z7"/>
    <w:rsid w:val="00EA1808"/>
  </w:style>
  <w:style w:type="character" w:customStyle="1" w:styleId="WW8Num5z8">
    <w:name w:val="WW8Num5z8"/>
    <w:rsid w:val="00EA1808"/>
  </w:style>
  <w:style w:type="character" w:customStyle="1" w:styleId="FootnoteCharacters">
    <w:name w:val="Footnote Characters"/>
    <w:rsid w:val="00EA1808"/>
    <w:rPr>
      <w:vertAlign w:val="superscript"/>
    </w:rPr>
  </w:style>
  <w:style w:type="character" w:styleId="Hyperlink">
    <w:name w:val="Hyperlink"/>
    <w:rsid w:val="00EA1808"/>
    <w:rPr>
      <w:color w:val="0000FF"/>
      <w:u w:val="single"/>
    </w:rPr>
  </w:style>
  <w:style w:type="character" w:customStyle="1" w:styleId="WW8Num21z0">
    <w:name w:val="WW8Num21z0"/>
    <w:rsid w:val="00EA1808"/>
    <w:rPr>
      <w:rFonts w:ascii="Symbol" w:hAnsi="Symbol" w:cs="Times New Roman"/>
      <w:sz w:val="20"/>
      <w:szCs w:val="16"/>
    </w:rPr>
  </w:style>
  <w:style w:type="character" w:customStyle="1" w:styleId="WW8Num21z1">
    <w:name w:val="WW8Num21z1"/>
    <w:rsid w:val="00EA1808"/>
    <w:rPr>
      <w:rFonts w:ascii="Symbol" w:eastAsia="SimSun" w:hAnsi="Symbol"/>
      <w:sz w:val="16"/>
      <w:szCs w:val="24"/>
    </w:rPr>
  </w:style>
  <w:style w:type="character" w:styleId="Emphasis">
    <w:name w:val="Emphasis"/>
    <w:qFormat/>
    <w:rsid w:val="00EA1808"/>
    <w:rPr>
      <w:i/>
      <w:iCs/>
    </w:rPr>
  </w:style>
  <w:style w:type="paragraph" w:customStyle="1" w:styleId="Heading">
    <w:name w:val="Heading"/>
    <w:basedOn w:val="Normal"/>
    <w:next w:val="Subtitle"/>
    <w:rsid w:val="00EA1808"/>
    <w:pPr>
      <w:jc w:val="center"/>
    </w:pPr>
    <w:rPr>
      <w:rFonts w:cs="Arial"/>
      <w:b/>
      <w:bCs/>
      <w:kern w:val="1"/>
      <w:sz w:val="32"/>
      <w:szCs w:val="32"/>
    </w:rPr>
  </w:style>
  <w:style w:type="paragraph" w:styleId="BodyText">
    <w:name w:val="Body Text"/>
    <w:basedOn w:val="Normal"/>
    <w:rsid w:val="00EA1808"/>
    <w:pPr>
      <w:spacing w:after="140" w:line="288" w:lineRule="auto"/>
    </w:pPr>
  </w:style>
  <w:style w:type="paragraph" w:styleId="List">
    <w:name w:val="List"/>
    <w:basedOn w:val="BodyText"/>
    <w:rsid w:val="00EA1808"/>
    <w:rPr>
      <w:rFonts w:cs="FreeSans"/>
    </w:rPr>
  </w:style>
  <w:style w:type="paragraph" w:styleId="Caption">
    <w:name w:val="caption"/>
    <w:basedOn w:val="Normal"/>
    <w:qFormat/>
    <w:rsid w:val="00EA1808"/>
    <w:pPr>
      <w:suppressLineNumbers/>
      <w:spacing w:before="120" w:after="120"/>
    </w:pPr>
    <w:rPr>
      <w:rFonts w:cs="FreeSans"/>
      <w:i/>
      <w:iCs/>
    </w:rPr>
  </w:style>
  <w:style w:type="paragraph" w:customStyle="1" w:styleId="Index">
    <w:name w:val="Index"/>
    <w:basedOn w:val="Normal"/>
    <w:rsid w:val="00EA1808"/>
    <w:pPr>
      <w:suppressLineNumbers/>
    </w:pPr>
    <w:rPr>
      <w:rFonts w:cs="FreeSans"/>
    </w:rPr>
  </w:style>
  <w:style w:type="paragraph" w:styleId="Subtitle">
    <w:name w:val="Subtitle"/>
    <w:basedOn w:val="Normal"/>
    <w:next w:val="BodyText"/>
    <w:qFormat/>
    <w:rsid w:val="00EA1808"/>
    <w:pPr>
      <w:spacing w:after="60"/>
      <w:jc w:val="center"/>
    </w:pPr>
    <w:rPr>
      <w:rFonts w:ascii="Arial" w:hAnsi="Arial" w:cs="Arial"/>
    </w:rPr>
  </w:style>
  <w:style w:type="paragraph" w:styleId="BodyTextIndent">
    <w:name w:val="Body Text Indent"/>
    <w:basedOn w:val="Normal"/>
    <w:rsid w:val="00EA1808"/>
    <w:pPr>
      <w:ind w:firstLine="567"/>
      <w:jc w:val="both"/>
    </w:pPr>
    <w:rPr>
      <w:sz w:val="20"/>
      <w:szCs w:val="20"/>
    </w:rPr>
  </w:style>
  <w:style w:type="paragraph" w:styleId="BodyTextIndent2">
    <w:name w:val="Body Text Indent 2"/>
    <w:basedOn w:val="Normal"/>
    <w:rsid w:val="00EA1808"/>
    <w:pPr>
      <w:ind w:left="567" w:hanging="567"/>
      <w:jc w:val="both"/>
    </w:pPr>
    <w:rPr>
      <w:sz w:val="20"/>
      <w:szCs w:val="20"/>
    </w:rPr>
  </w:style>
  <w:style w:type="paragraph" w:customStyle="1" w:styleId="Equation">
    <w:name w:val="Equation"/>
    <w:basedOn w:val="BodyTextIndent"/>
    <w:rsid w:val="00EA1808"/>
    <w:pPr>
      <w:tabs>
        <w:tab w:val="left" w:pos="57"/>
        <w:tab w:val="center" w:pos="1985"/>
        <w:tab w:val="right" w:pos="4026"/>
      </w:tabs>
      <w:ind w:firstLine="0"/>
      <w:jc w:val="left"/>
    </w:pPr>
  </w:style>
  <w:style w:type="paragraph" w:customStyle="1" w:styleId="Body">
    <w:name w:val="Body"/>
    <w:basedOn w:val="BodyTextIndent"/>
    <w:rsid w:val="00EA1808"/>
    <w:pPr>
      <w:ind w:firstLine="288"/>
    </w:pPr>
  </w:style>
  <w:style w:type="paragraph" w:customStyle="1" w:styleId="BodyAbstract">
    <w:name w:val="Body Abstract"/>
    <w:basedOn w:val="Heading1"/>
    <w:rsid w:val="00EA1808"/>
    <w:pPr>
      <w:numPr>
        <w:numId w:val="0"/>
      </w:numPr>
      <w:ind w:left="567" w:right="567"/>
    </w:pPr>
    <w:rPr>
      <w:b w:val="0"/>
      <w:i/>
    </w:rPr>
  </w:style>
  <w:style w:type="paragraph" w:styleId="FootnoteText">
    <w:name w:val="footnote text"/>
    <w:basedOn w:val="Normal"/>
    <w:rsid w:val="00EA1808"/>
    <w:rPr>
      <w:sz w:val="20"/>
      <w:szCs w:val="20"/>
    </w:rPr>
  </w:style>
  <w:style w:type="paragraph" w:customStyle="1" w:styleId="StyleTitle">
    <w:name w:val="Style Title"/>
    <w:basedOn w:val="Heading"/>
    <w:rsid w:val="00EA1808"/>
    <w:rPr>
      <w:sz w:val="24"/>
    </w:rPr>
  </w:style>
  <w:style w:type="paragraph" w:styleId="NormalWeb">
    <w:name w:val="Normal (Web)"/>
    <w:basedOn w:val="Normal"/>
    <w:rsid w:val="00EA1808"/>
    <w:pPr>
      <w:spacing w:before="280" w:after="119"/>
    </w:pPr>
  </w:style>
  <w:style w:type="paragraph" w:customStyle="1" w:styleId="Author">
    <w:name w:val="Author"/>
    <w:basedOn w:val="Normal"/>
    <w:rsid w:val="00EA1808"/>
    <w:pPr>
      <w:jc w:val="center"/>
    </w:pPr>
    <w:rPr>
      <w:b/>
    </w:rPr>
  </w:style>
  <w:style w:type="paragraph" w:customStyle="1" w:styleId="AbstractTitle">
    <w:name w:val="Abstract Title"/>
    <w:basedOn w:val="Normal"/>
    <w:rsid w:val="00EA1808"/>
    <w:pPr>
      <w:jc w:val="center"/>
    </w:pPr>
    <w:rPr>
      <w:b/>
      <w:sz w:val="20"/>
      <w:szCs w:val="20"/>
    </w:rPr>
  </w:style>
  <w:style w:type="paragraph" w:customStyle="1" w:styleId="FrameContents">
    <w:name w:val="Frame Contents"/>
    <w:basedOn w:val="Normal"/>
    <w:rsid w:val="00EA1808"/>
  </w:style>
  <w:style w:type="paragraph" w:customStyle="1" w:styleId="TableContents">
    <w:name w:val="Table Contents"/>
    <w:basedOn w:val="Normal"/>
    <w:rsid w:val="00EA1808"/>
    <w:pPr>
      <w:suppressLineNumbers/>
    </w:pPr>
  </w:style>
  <w:style w:type="paragraph" w:customStyle="1" w:styleId="TableHeading">
    <w:name w:val="Table Heading"/>
    <w:basedOn w:val="TableContents"/>
    <w:rsid w:val="00EA1808"/>
    <w:pPr>
      <w:jc w:val="center"/>
    </w:pPr>
    <w:rPr>
      <w:b/>
      <w:bCs/>
    </w:rPr>
  </w:style>
  <w:style w:type="paragraph" w:customStyle="1" w:styleId="JSKReferenceItem">
    <w:name w:val="JSK Reference Item"/>
    <w:basedOn w:val="Normal"/>
    <w:rsid w:val="00EA1808"/>
    <w:pPr>
      <w:numPr>
        <w:numId w:val="3"/>
      </w:numPr>
      <w:snapToGrid w:val="0"/>
      <w:jc w:val="both"/>
    </w:pPr>
    <w:rPr>
      <w:sz w:val="16"/>
    </w:rPr>
  </w:style>
  <w:style w:type="paragraph" w:customStyle="1" w:styleId="JSKParagraph">
    <w:name w:val="JSK Paragraph"/>
    <w:basedOn w:val="Normal"/>
    <w:rsid w:val="00EA1808"/>
    <w:pPr>
      <w:snapToGrid w:val="0"/>
      <w:ind w:firstLine="216"/>
      <w:jc w:val="both"/>
    </w:pPr>
    <w:rPr>
      <w:sz w:val="20"/>
    </w:rPr>
  </w:style>
  <w:style w:type="paragraph" w:customStyle="1" w:styleId="Gambar">
    <w:name w:val="Gambar"/>
    <w:basedOn w:val="Caption"/>
    <w:rsid w:val="00EA1808"/>
  </w:style>
  <w:style w:type="paragraph" w:customStyle="1" w:styleId="Tabel">
    <w:name w:val="Tabel"/>
    <w:basedOn w:val="Caption"/>
    <w:rsid w:val="00EA1808"/>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paragraph" w:customStyle="1" w:styleId="Normal1">
    <w:name w:val="Normal1"/>
    <w:rsid w:val="00832D9F"/>
    <w:pPr>
      <w:spacing w:after="160" w:line="259" w:lineRule="auto"/>
    </w:pPr>
    <w:rPr>
      <w:rFonts w:ascii="Calibri" w:eastAsia="Calibri" w:hAnsi="Calibri" w:cs="Calibri"/>
      <w:sz w:val="22"/>
      <w:szCs w:val="22"/>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27D24-73E5-4FEC-864C-D225D189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3265</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21835</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subject/>
  <dc:creator>Reviewer</dc:creator>
  <cp:keywords/>
  <cp:lastModifiedBy>WIN 10</cp:lastModifiedBy>
  <cp:revision>14</cp:revision>
  <cp:lastPrinted>2019-01-25T08:13:00Z</cp:lastPrinted>
  <dcterms:created xsi:type="dcterms:W3CDTF">2021-01-21T11:33:00Z</dcterms:created>
  <dcterms:modified xsi:type="dcterms:W3CDTF">2021-04-15T09:45:00Z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